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E26" w:rsidRDefault="00D96E26" w:rsidP="00D96E26">
      <w:pPr>
        <w:jc w:val="center"/>
        <w:rPr>
          <w:rFonts w:eastAsia="Times New Roman"/>
          <w:b/>
          <w:sz w:val="20"/>
          <w:szCs w:val="20"/>
          <w:lang w:eastAsia="ru-RU"/>
        </w:rPr>
      </w:pPr>
      <w:r w:rsidRPr="004D59F6">
        <w:rPr>
          <w:rFonts w:eastAsia="Times New Roman"/>
          <w:b/>
          <w:sz w:val="20"/>
          <w:szCs w:val="20"/>
          <w:lang w:eastAsia="ru-RU"/>
        </w:rPr>
        <w:t xml:space="preserve">Публічний договір  </w:t>
      </w:r>
      <w:r w:rsidRPr="004D59F6">
        <w:rPr>
          <w:rFonts w:eastAsia="Times New Roman"/>
          <w:b/>
          <w:sz w:val="20"/>
          <w:szCs w:val="20"/>
          <w:lang w:eastAsia="ru-RU"/>
        </w:rPr>
        <w:br/>
        <w:t>з індивідуальним споживачем про надання послуг з централізованого водопостачання та централізованого водовідведення (без обслуговування внутрішньобудинкових систем)</w:t>
      </w:r>
    </w:p>
    <w:p w:rsidR="00D96E26" w:rsidRPr="004D59F6" w:rsidRDefault="00D96E26" w:rsidP="00D96E26">
      <w:pPr>
        <w:jc w:val="center"/>
        <w:rPr>
          <w:rFonts w:eastAsia="Times New Roman"/>
          <w:b/>
          <w:sz w:val="20"/>
          <w:szCs w:val="20"/>
          <w:lang w:eastAsia="ru-RU"/>
        </w:rPr>
      </w:pPr>
    </w:p>
    <w:tbl>
      <w:tblPr>
        <w:tblW w:w="0" w:type="auto"/>
        <w:tblInd w:w="982" w:type="dxa"/>
        <w:tblLook w:val="04A0"/>
      </w:tblPr>
      <w:tblGrid>
        <w:gridCol w:w="4418"/>
        <w:gridCol w:w="4455"/>
      </w:tblGrid>
      <w:tr w:rsidR="00D96E26" w:rsidRPr="004D59F6" w:rsidTr="00E63ED1">
        <w:tc>
          <w:tcPr>
            <w:tcW w:w="4643" w:type="dxa"/>
            <w:hideMark/>
          </w:tcPr>
          <w:p w:rsidR="00D96E26" w:rsidRPr="004D59F6" w:rsidRDefault="00D96E26" w:rsidP="00E63ED1">
            <w:pPr>
              <w:spacing w:before="120" w:line="276" w:lineRule="auto"/>
              <w:jc w:val="both"/>
              <w:rPr>
                <w:rFonts w:eastAsia="Times New Roman"/>
                <w:sz w:val="20"/>
                <w:szCs w:val="20"/>
                <w:lang w:eastAsia="ru-RU"/>
              </w:rPr>
            </w:pPr>
            <w:r w:rsidRPr="004D59F6">
              <w:rPr>
                <w:rFonts w:eastAsia="Times New Roman"/>
                <w:sz w:val="20"/>
                <w:szCs w:val="20"/>
                <w:lang w:eastAsia="ru-RU"/>
              </w:rPr>
              <w:t xml:space="preserve">     м. Олевськ</w:t>
            </w:r>
          </w:p>
          <w:p w:rsidR="00D96E26" w:rsidRPr="004D59F6" w:rsidRDefault="00D96E26" w:rsidP="00E63ED1">
            <w:pPr>
              <w:spacing w:line="276" w:lineRule="auto"/>
              <w:jc w:val="both"/>
              <w:rPr>
                <w:rFonts w:eastAsia="Times New Roman"/>
                <w:sz w:val="20"/>
                <w:szCs w:val="20"/>
                <w:lang w:eastAsia="ru-RU"/>
              </w:rPr>
            </w:pPr>
            <w:r w:rsidRPr="004D59F6">
              <w:rPr>
                <w:rFonts w:eastAsia="Times New Roman"/>
                <w:sz w:val="20"/>
                <w:szCs w:val="20"/>
                <w:lang w:eastAsia="ru-RU"/>
              </w:rPr>
              <w:t xml:space="preserve">   </w:t>
            </w:r>
          </w:p>
        </w:tc>
        <w:tc>
          <w:tcPr>
            <w:tcW w:w="4644" w:type="dxa"/>
            <w:hideMark/>
          </w:tcPr>
          <w:p w:rsidR="00D96E26" w:rsidRPr="004D59F6" w:rsidRDefault="00D96E26" w:rsidP="00E63ED1">
            <w:pPr>
              <w:spacing w:before="120" w:line="276" w:lineRule="auto"/>
              <w:jc w:val="right"/>
              <w:rPr>
                <w:rFonts w:eastAsia="Times New Roman"/>
                <w:sz w:val="20"/>
                <w:szCs w:val="20"/>
                <w:lang w:eastAsia="ru-RU"/>
              </w:rPr>
            </w:pPr>
            <w:r w:rsidRPr="004D59F6">
              <w:rPr>
                <w:rFonts w:eastAsia="Times New Roman"/>
                <w:sz w:val="20"/>
                <w:szCs w:val="20"/>
                <w:lang w:eastAsia="ru-RU"/>
              </w:rPr>
              <w:t xml:space="preserve">                                     «___» _____________ 20__ р.</w:t>
            </w:r>
          </w:p>
        </w:tc>
      </w:tr>
    </w:tbl>
    <w:p w:rsidR="00D96E26" w:rsidRDefault="00D96E26" w:rsidP="00D96E26">
      <w:pPr>
        <w:jc w:val="both"/>
        <w:rPr>
          <w:rFonts w:eastAsia="Times New Roman"/>
          <w:sz w:val="20"/>
          <w:szCs w:val="20"/>
          <w:lang w:eastAsia="ru-RU"/>
        </w:rPr>
      </w:pPr>
      <w:r w:rsidRPr="004D59F6">
        <w:rPr>
          <w:rFonts w:eastAsia="Times New Roman"/>
          <w:b/>
          <w:sz w:val="20"/>
          <w:szCs w:val="20"/>
          <w:lang w:eastAsia="ru-RU"/>
        </w:rPr>
        <w:t xml:space="preserve">  Товариство з обмеженою відповідальністю « Олевське орендне підприємство теплових мереж»( </w:t>
      </w:r>
      <w:r w:rsidRPr="004D59F6">
        <w:rPr>
          <w:rFonts w:eastAsia="Times New Roman"/>
          <w:sz w:val="20"/>
          <w:szCs w:val="20"/>
          <w:lang w:eastAsia="ru-RU"/>
        </w:rPr>
        <w:t xml:space="preserve">код </w:t>
      </w:r>
      <w:r w:rsidRPr="004D59F6">
        <w:rPr>
          <w:rFonts w:eastAsia="Times New Roman"/>
          <w:b/>
          <w:sz w:val="20"/>
          <w:szCs w:val="20"/>
          <w:lang w:eastAsia="ru-RU"/>
        </w:rPr>
        <w:t xml:space="preserve">ЄДРПОУ 13566750) </w:t>
      </w:r>
      <w:r w:rsidRPr="004D59F6">
        <w:rPr>
          <w:rFonts w:eastAsia="Times New Roman"/>
          <w:sz w:val="20"/>
          <w:szCs w:val="20"/>
          <w:lang w:eastAsia="ru-RU"/>
        </w:rPr>
        <w:t xml:space="preserve">  в особі директора  Повара Анатолія Васильовича, що діє на підставі Статуту (далі - виконавець), з однієї сторони і будь-яка  фізична особа , фізична особа – підприємець або юридична особа, що є власником ( співвласником, користувачем) нерухомого майна багатоквартирного будинку – індивідуальний споживач, який прийняв (акцептував) дану пропозицію (далі – споживач) з іншої сторони( разом  - сторони , а кожний окремо – сторона) , уклали даний Договір, адресований необмеженому колу осіб, який є офіційною публічною пропозицією(офертою) виконавця укласти  Договір з індивідуальним споживачем про надання послуг з централізованого водопостачання та централізованого водовідведення ( без обслуговування внутрішньобудинкових систем)(далі-Договір). При фактичному отриманні та оплаті послуг виконавця, споживачі приймають умови цього Договору про нижченаведене.</w:t>
      </w:r>
    </w:p>
    <w:p w:rsidR="00D96E26" w:rsidRPr="004D59F6" w:rsidRDefault="00D96E26" w:rsidP="00D96E26">
      <w:pPr>
        <w:jc w:val="both"/>
        <w:rPr>
          <w:rFonts w:eastAsia="Times New Roman"/>
          <w:sz w:val="20"/>
          <w:szCs w:val="20"/>
          <w:lang w:eastAsia="ru-RU"/>
        </w:rPr>
      </w:pPr>
    </w:p>
    <w:p w:rsidR="00D96E26" w:rsidRPr="004D59F6" w:rsidRDefault="00D96E26" w:rsidP="00D96E26">
      <w:pPr>
        <w:jc w:val="both"/>
        <w:rPr>
          <w:rFonts w:eastAsia="Times New Roman"/>
          <w:b/>
          <w:sz w:val="20"/>
          <w:szCs w:val="20"/>
          <w:lang w:eastAsia="ru-RU"/>
        </w:rPr>
      </w:pPr>
      <w:r w:rsidRPr="004D59F6">
        <w:rPr>
          <w:rFonts w:eastAsia="Times New Roman"/>
          <w:sz w:val="20"/>
          <w:szCs w:val="20"/>
          <w:lang w:eastAsia="ru-RU"/>
        </w:rPr>
        <w:t xml:space="preserve">                                                                                                </w:t>
      </w:r>
      <w:r w:rsidRPr="004D59F6">
        <w:rPr>
          <w:rFonts w:eastAsia="Times New Roman"/>
          <w:b/>
          <w:sz w:val="20"/>
          <w:szCs w:val="20"/>
          <w:lang w:eastAsia="ru-RU"/>
        </w:rPr>
        <w:t xml:space="preserve">Загальні положення </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 Цей Договір укладається  шляхом надання повної й безумовної згоди(акцепту) споживача на укладення Договору в повному обсязі, без підпису письмового примірника договору сторонами.</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2. Договір має юридичну силу відповідно до ст.633,641,642 Цивільного кодексу України і є рівносильним Договору підписаному сторонами</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3. Споживач підтверджує факт ознайомлення та згоди з усіма умовами цього Договору в повному обсязі шляхом акцептування.</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4. Будь-яка з наступних дій  вважається акцептом (прийняттям) цього Договору публічної оферти:</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 xml:space="preserve">  - факт отримання послуг з централізованого водопостачання та/або водовідведення;</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 xml:space="preserve">  - оплата послуг виконавця на умовах та в порядку, визначеними цим Договором та у відповідності до ст.9 Закону України « Про житлово- комунальні послуги»;</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 xml:space="preserve">  - письмова заява-приєднання споживача про прийняття умов цього Договору на адресу виконавця;</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 xml:space="preserve">  - реєстрація в особистому кабінеті на сайті </w:t>
      </w:r>
      <w:hyperlink r:id="rId4" w:history="1">
        <w:r w:rsidRPr="004D59F6">
          <w:rPr>
            <w:rFonts w:eastAsia="Times New Roman"/>
            <w:color w:val="0000FF" w:themeColor="hyperlink"/>
            <w:sz w:val="20"/>
            <w:szCs w:val="20"/>
            <w:u w:val="single"/>
            <w:lang w:eastAsia="ru-RU"/>
          </w:rPr>
          <w:t>www.abon.com.ua</w:t>
        </w:r>
      </w:hyperlink>
      <w:r w:rsidRPr="004D59F6">
        <w:rPr>
          <w:rFonts w:eastAsia="Times New Roman"/>
          <w:color w:val="0000FF" w:themeColor="hyperlink"/>
          <w:sz w:val="20"/>
          <w:szCs w:val="20"/>
          <w:u w:val="single"/>
          <w:lang w:eastAsia="ru-RU"/>
        </w:rPr>
        <w:t>.</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5. Укладаючи цей Договір споживач автоматично погоджується з повним та безумовним прийняттям положень цього Договору та всіх додатків, які є невід᾽ємними частинами Договору.</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6.  Якщо споживач не згодний з умовами Договору , він не має права користуватися послугами.</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7. За згодою сторін цей Договір може бути укладений в письмовій формі  у двох оригінальних примірниках, по одному для  кожної із сторін.</w:t>
      </w:r>
    </w:p>
    <w:p w:rsidR="00D96E26" w:rsidRPr="004D59F6" w:rsidRDefault="00D96E26" w:rsidP="00D96E26">
      <w:pPr>
        <w:jc w:val="both"/>
        <w:rPr>
          <w:rFonts w:eastAsia="Times New Roman"/>
          <w:sz w:val="20"/>
          <w:szCs w:val="20"/>
          <w:lang w:eastAsia="ru-RU"/>
        </w:rPr>
      </w:pP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 xml:space="preserve"> </w:t>
      </w:r>
    </w:p>
    <w:p w:rsidR="00D96E26" w:rsidRPr="004D59F6" w:rsidRDefault="00D96E26" w:rsidP="00D96E26">
      <w:pPr>
        <w:jc w:val="center"/>
        <w:rPr>
          <w:rFonts w:eastAsia="Times New Roman"/>
          <w:b/>
          <w:sz w:val="20"/>
          <w:szCs w:val="20"/>
          <w:lang w:eastAsia="ru-RU"/>
        </w:rPr>
      </w:pPr>
      <w:r w:rsidRPr="004D59F6">
        <w:rPr>
          <w:rFonts w:eastAsia="Times New Roman"/>
          <w:b/>
          <w:sz w:val="20"/>
          <w:szCs w:val="20"/>
          <w:lang w:eastAsia="ru-RU"/>
        </w:rPr>
        <w:t>Предмет договору</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8. Виконавець зобов’язується своєчасно надавати споживачеві послуги з централізованого водопостачання та централізованого водовідведення (далі - послуги),а споживач зобов’язується оплачувати надані послуги за тарифами, встановленими відповідно до законодавства, у порядку, строки та на умовах, що передбачені Договором.</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9. Виконавець забезпечує якість питної води відповідно до вимог державних санітарних норм і правил з тиском питної води відповідно до параметрів, встановлених державними будівельними нормами, на межі централізованих інженерно-технічних систем постачання послуги виконавця та внутрішньобудинкових систем багатоквартирного будинку.</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10. Послуги надаються споживачеві безперервно, крім перерв, визначених частиною першою статті 16 Закону України “Про житлово-комунальні послуги”.</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Послуга з централізованого водовідведення надається у мережі виконавця з мереж споживача за умови справності мереж споживача.</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11. Інформація про споживача:</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 власник (співвласник, користувач) житлового приміщення (квартири) та члени його сім’ї - __________________ осіб;</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(словами)</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2) власник (співвласник, користувач) нежитлового приміщення - ______________________</w:t>
      </w:r>
      <w:r w:rsidRPr="004D59F6">
        <w:rPr>
          <w:rFonts w:eastAsia="Times New Roman"/>
          <w:sz w:val="20"/>
          <w:szCs w:val="20"/>
          <w:lang w:val="ru-RU" w:eastAsia="ru-RU"/>
        </w:rPr>
        <w:t>__________</w:t>
      </w:r>
      <w:r w:rsidRPr="004D59F6">
        <w:rPr>
          <w:rFonts w:eastAsia="Times New Roman"/>
          <w:sz w:val="20"/>
          <w:szCs w:val="20"/>
          <w:lang w:eastAsia="ru-RU"/>
        </w:rPr>
        <w:t>_______ осіб;</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(словами)</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3) адреса об’єкта водоспоживання:</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вулиця ______________________________________________________,</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будинок № __________, квартира (приміщення) № ________________,</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місто (селище, село) _____________________ , індекс ______________,</w:t>
      </w:r>
    </w:p>
    <w:p w:rsidR="00D96E26" w:rsidRPr="004D59F6" w:rsidRDefault="00D96E26" w:rsidP="00D96E26">
      <w:pPr>
        <w:jc w:val="both"/>
        <w:rPr>
          <w:rFonts w:eastAsia="Times New Roman"/>
          <w:sz w:val="20"/>
          <w:szCs w:val="20"/>
          <w:lang w:eastAsia="ru-RU"/>
        </w:rPr>
      </w:pPr>
      <w:r>
        <w:rPr>
          <w:rFonts w:eastAsia="Times New Roman"/>
          <w:noProof/>
          <w:sz w:val="20"/>
          <w:szCs w:val="20"/>
        </w:rPr>
        <w:pict>
          <v:line id="Пряма сполучна лінія 6" o:spid="_x0000_s1027" style="position:absolute;left:0;text-align:left;z-index:251661312;visibility:visible;mso-wrap-distance-left:3.17497mm;mso-wrap-distance-top:-3e-5mm;mso-wrap-distance-right:3.17497mm;mso-wrap-distance-bottom:-3e-5mm;mso-position-horizontal-relative:margin" from="249.6pt,0" to="24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" strokeweight=".26mm">
            <v:stroke joinstyle="miter" endcap="square"/>
            <w10:wrap anchorx="margin"/>
          </v:line>
        </w:pict>
      </w:r>
      <w:r w:rsidRPr="004D59F6">
        <w:rPr>
          <w:rFonts w:eastAsia="Times New Roman"/>
          <w:sz w:val="20"/>
          <w:szCs w:val="20"/>
          <w:lang w:eastAsia="ru-RU"/>
        </w:rPr>
        <w:t>район _______________________________________________________,</w:t>
      </w:r>
    </w:p>
    <w:p w:rsidR="00D96E26" w:rsidRPr="004D59F6" w:rsidRDefault="00D96E26" w:rsidP="00D96E26">
      <w:pPr>
        <w:jc w:val="both"/>
        <w:rPr>
          <w:rFonts w:eastAsia="Times New Roman"/>
          <w:sz w:val="20"/>
          <w:szCs w:val="20"/>
          <w:lang w:eastAsia="ru-RU"/>
        </w:rPr>
      </w:pPr>
      <w:r>
        <w:rPr>
          <w:rFonts w:eastAsia="Times New Roman"/>
          <w:noProof/>
          <w:sz w:val="20"/>
          <w:szCs w:val="20"/>
        </w:rPr>
        <w:pict>
          <v:line id="Пряма сполучна лінія 5" o:spid="_x0000_s1026" style="position:absolute;left:0;text-align:left;z-index:251660288;visibility:visible;mso-wrap-distance-left:3.17497mm;mso-wrap-distance-top:-3e-5mm;mso-wrap-distance-right:3.17497mm;mso-wrap-distance-bottom:-3e-5mm;mso-position-horizontal-relative:margin" from="249.6pt,0" to="24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" strokeweight=".26mm">
            <v:stroke joinstyle="miter" endcap="square"/>
            <w10:wrap anchorx="margin"/>
          </v:line>
        </w:pict>
      </w:r>
      <w:r w:rsidRPr="004D59F6">
        <w:rPr>
          <w:rFonts w:eastAsia="Times New Roman"/>
          <w:sz w:val="20"/>
          <w:szCs w:val="20"/>
          <w:lang w:eastAsia="ru-RU"/>
        </w:rPr>
        <w:t>область  _____________________________________________________;</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4) номер контактного телефону споживача _______________________;</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5) абонентський номер споживача  ______________________________;</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lastRenderedPageBreak/>
        <w:t>6) характеристика вузлів розподільного обліку води:</w:t>
      </w:r>
    </w:p>
    <w:tbl>
      <w:tblPr>
        <w:tblW w:w="10732" w:type="dxa"/>
        <w:tblInd w:w="108" w:type="dxa"/>
        <w:tblBorders>
          <w:top w:val="single" w:sz="4" w:space="0" w:color="auto"/>
          <w:bottom w:val="single" w:sz="4" w:space="0" w:color="auto"/>
          <w:insideH w:val="single" w:sz="4" w:space="0" w:color="auto"/>
          <w:insideV w:val="single" w:sz="4" w:space="0" w:color="auto"/>
        </w:tblBorders>
        <w:tblLayout w:type="fixed"/>
        <w:tblLook w:val="04A0"/>
      </w:tblPr>
      <w:tblGrid>
        <w:gridCol w:w="543"/>
        <w:gridCol w:w="2581"/>
        <w:gridCol w:w="1222"/>
        <w:gridCol w:w="1087"/>
        <w:gridCol w:w="2266"/>
        <w:gridCol w:w="1946"/>
        <w:gridCol w:w="1087"/>
      </w:tblGrid>
      <w:tr w:rsidR="00D96E26" w:rsidRPr="004D59F6" w:rsidTr="00E63ED1">
        <w:trPr>
          <w:trHeight w:val="1279"/>
        </w:trPr>
        <w:tc>
          <w:tcPr>
            <w:tcW w:w="543" w:type="dxa"/>
            <w:tcBorders>
              <w:top w:val="single" w:sz="4" w:space="0" w:color="auto"/>
              <w:left w:val="single" w:sz="4" w:space="0" w:color="auto"/>
              <w:bottom w:val="single" w:sz="4" w:space="0" w:color="auto"/>
              <w:right w:val="single" w:sz="4" w:space="0" w:color="auto"/>
            </w:tcBorders>
            <w:vAlign w:val="center"/>
            <w:hideMark/>
          </w:tcPr>
          <w:p w:rsidR="00D96E26" w:rsidRPr="004D59F6" w:rsidRDefault="00D96E26" w:rsidP="00E63ED1">
            <w:pPr>
              <w:spacing w:line="276" w:lineRule="auto"/>
              <w:jc w:val="center"/>
              <w:rPr>
                <w:rFonts w:eastAsia="Times New Roman"/>
                <w:sz w:val="20"/>
                <w:szCs w:val="20"/>
                <w:lang w:eastAsia="ru-RU"/>
              </w:rPr>
            </w:pPr>
            <w:r w:rsidRPr="004D59F6">
              <w:rPr>
                <w:rFonts w:eastAsia="Times New Roman"/>
                <w:sz w:val="20"/>
                <w:szCs w:val="20"/>
                <w:lang w:eastAsia="ru-RU"/>
              </w:rPr>
              <w:t>№</w:t>
            </w:r>
          </w:p>
          <w:p w:rsidR="00D96E26" w:rsidRPr="004D59F6" w:rsidRDefault="00D96E26" w:rsidP="00E63ED1">
            <w:pPr>
              <w:spacing w:line="276" w:lineRule="auto"/>
              <w:jc w:val="center"/>
              <w:rPr>
                <w:rFonts w:eastAsia="Times New Roman"/>
                <w:sz w:val="20"/>
                <w:szCs w:val="20"/>
                <w:lang w:eastAsia="ru-RU"/>
              </w:rPr>
            </w:pPr>
            <w:r w:rsidRPr="004D59F6">
              <w:rPr>
                <w:rFonts w:eastAsia="Times New Roman"/>
                <w:sz w:val="20"/>
                <w:szCs w:val="20"/>
                <w:lang w:eastAsia="ru-RU"/>
              </w:rPr>
              <w:t>з\п</w:t>
            </w:r>
          </w:p>
        </w:tc>
        <w:tc>
          <w:tcPr>
            <w:tcW w:w="2581" w:type="dxa"/>
            <w:tcBorders>
              <w:top w:val="single" w:sz="4" w:space="0" w:color="auto"/>
              <w:left w:val="single" w:sz="4" w:space="0" w:color="auto"/>
              <w:bottom w:val="single" w:sz="4" w:space="0" w:color="auto"/>
              <w:right w:val="single" w:sz="4" w:space="0" w:color="auto"/>
            </w:tcBorders>
            <w:vAlign w:val="center"/>
            <w:hideMark/>
          </w:tcPr>
          <w:p w:rsidR="00D96E26" w:rsidRPr="004D59F6" w:rsidRDefault="00D96E26" w:rsidP="00E63ED1">
            <w:pPr>
              <w:spacing w:line="276" w:lineRule="auto"/>
              <w:jc w:val="center"/>
              <w:rPr>
                <w:rFonts w:eastAsia="Times New Roman"/>
                <w:sz w:val="20"/>
                <w:szCs w:val="20"/>
                <w:lang w:eastAsia="ru-RU"/>
              </w:rPr>
            </w:pPr>
            <w:r w:rsidRPr="004D59F6">
              <w:rPr>
                <w:rFonts w:eastAsia="Times New Roman"/>
                <w:sz w:val="20"/>
                <w:szCs w:val="20"/>
                <w:lang w:eastAsia="ru-RU"/>
              </w:rPr>
              <w:t>Найменування та умовне позначення типу засобу вимірювальної техніки</w:t>
            </w:r>
          </w:p>
        </w:tc>
        <w:tc>
          <w:tcPr>
            <w:tcW w:w="1222" w:type="dxa"/>
            <w:tcBorders>
              <w:top w:val="single" w:sz="4" w:space="0" w:color="auto"/>
              <w:left w:val="single" w:sz="4" w:space="0" w:color="auto"/>
              <w:bottom w:val="single" w:sz="4" w:space="0" w:color="auto"/>
              <w:right w:val="single" w:sz="4" w:space="0" w:color="auto"/>
            </w:tcBorders>
            <w:vAlign w:val="center"/>
            <w:hideMark/>
          </w:tcPr>
          <w:p w:rsidR="00D96E26" w:rsidRPr="004D59F6" w:rsidRDefault="00D96E26" w:rsidP="00E63ED1">
            <w:pPr>
              <w:spacing w:line="276" w:lineRule="auto"/>
              <w:jc w:val="center"/>
              <w:rPr>
                <w:rFonts w:eastAsia="Times New Roman"/>
                <w:sz w:val="20"/>
                <w:szCs w:val="20"/>
                <w:lang w:eastAsia="ru-RU"/>
              </w:rPr>
            </w:pPr>
            <w:r w:rsidRPr="004D59F6">
              <w:rPr>
                <w:rFonts w:eastAsia="Times New Roman"/>
                <w:sz w:val="20"/>
                <w:szCs w:val="20"/>
                <w:lang w:eastAsia="ru-RU"/>
              </w:rPr>
              <w:t>Заводський номер</w:t>
            </w:r>
          </w:p>
        </w:tc>
        <w:tc>
          <w:tcPr>
            <w:tcW w:w="1087" w:type="dxa"/>
            <w:tcBorders>
              <w:top w:val="single" w:sz="4" w:space="0" w:color="auto"/>
              <w:left w:val="single" w:sz="4" w:space="0" w:color="auto"/>
              <w:bottom w:val="single" w:sz="4" w:space="0" w:color="auto"/>
              <w:right w:val="single" w:sz="4" w:space="0" w:color="auto"/>
            </w:tcBorders>
            <w:vAlign w:val="center"/>
            <w:hideMark/>
          </w:tcPr>
          <w:p w:rsidR="00D96E26" w:rsidRPr="004D59F6" w:rsidRDefault="00D96E26" w:rsidP="00E63ED1">
            <w:pPr>
              <w:spacing w:line="276" w:lineRule="auto"/>
              <w:jc w:val="center"/>
              <w:rPr>
                <w:rFonts w:eastAsia="Times New Roman"/>
                <w:sz w:val="20"/>
                <w:szCs w:val="20"/>
                <w:lang w:eastAsia="ru-RU"/>
              </w:rPr>
            </w:pPr>
            <w:r w:rsidRPr="004D59F6">
              <w:rPr>
                <w:rFonts w:eastAsia="Times New Roman"/>
                <w:sz w:val="20"/>
                <w:szCs w:val="20"/>
                <w:lang w:eastAsia="ru-RU"/>
              </w:rPr>
              <w:t>Перше показання/</w:t>
            </w:r>
            <w:r w:rsidRPr="004D59F6">
              <w:rPr>
                <w:rFonts w:eastAsia="Times New Roman"/>
                <w:sz w:val="20"/>
                <w:szCs w:val="20"/>
                <w:lang w:val="ru-RU" w:eastAsia="ru-RU"/>
              </w:rPr>
              <w:t xml:space="preserve"> </w:t>
            </w:r>
            <w:r w:rsidRPr="004D59F6">
              <w:rPr>
                <w:rFonts w:eastAsia="Times New Roman"/>
                <w:sz w:val="20"/>
                <w:szCs w:val="20"/>
                <w:lang w:eastAsia="ru-RU"/>
              </w:rPr>
              <w:t>дата</w:t>
            </w:r>
          </w:p>
        </w:tc>
        <w:tc>
          <w:tcPr>
            <w:tcW w:w="2266" w:type="dxa"/>
            <w:tcBorders>
              <w:top w:val="single" w:sz="4" w:space="0" w:color="auto"/>
              <w:left w:val="single" w:sz="4" w:space="0" w:color="auto"/>
              <w:bottom w:val="single" w:sz="4" w:space="0" w:color="auto"/>
              <w:right w:val="single" w:sz="4" w:space="0" w:color="auto"/>
            </w:tcBorders>
            <w:vAlign w:val="center"/>
            <w:hideMark/>
          </w:tcPr>
          <w:p w:rsidR="00D96E26" w:rsidRPr="004D59F6" w:rsidRDefault="00D96E26" w:rsidP="00E63ED1">
            <w:pPr>
              <w:spacing w:line="276" w:lineRule="auto"/>
              <w:jc w:val="center"/>
              <w:rPr>
                <w:rFonts w:eastAsia="Times New Roman"/>
                <w:sz w:val="20"/>
                <w:szCs w:val="20"/>
                <w:lang w:eastAsia="ru-RU"/>
              </w:rPr>
            </w:pPr>
            <w:r w:rsidRPr="004D59F6">
              <w:rPr>
                <w:rFonts w:eastAsia="Times New Roman"/>
                <w:sz w:val="20"/>
                <w:szCs w:val="20"/>
                <w:lang w:eastAsia="ru-RU"/>
              </w:rPr>
              <w:t>Місце встановлення</w:t>
            </w:r>
          </w:p>
        </w:tc>
        <w:tc>
          <w:tcPr>
            <w:tcW w:w="1946" w:type="dxa"/>
            <w:tcBorders>
              <w:top w:val="single" w:sz="4" w:space="0" w:color="auto"/>
              <w:left w:val="single" w:sz="4" w:space="0" w:color="auto"/>
              <w:bottom w:val="single" w:sz="4" w:space="0" w:color="auto"/>
              <w:right w:val="single" w:sz="4" w:space="0" w:color="auto"/>
            </w:tcBorders>
            <w:vAlign w:val="center"/>
            <w:hideMark/>
          </w:tcPr>
          <w:p w:rsidR="00D96E26" w:rsidRPr="004D59F6" w:rsidRDefault="00D96E26" w:rsidP="00E63ED1">
            <w:pPr>
              <w:spacing w:line="276" w:lineRule="auto"/>
              <w:jc w:val="center"/>
              <w:rPr>
                <w:rFonts w:eastAsia="Times New Roman"/>
                <w:sz w:val="20"/>
                <w:szCs w:val="20"/>
                <w:lang w:eastAsia="ru-RU"/>
              </w:rPr>
            </w:pPr>
            <w:r w:rsidRPr="004D59F6">
              <w:rPr>
                <w:rFonts w:eastAsia="Times New Roman"/>
                <w:sz w:val="20"/>
                <w:szCs w:val="20"/>
                <w:lang w:eastAsia="ru-RU"/>
              </w:rPr>
              <w:t>Дата останньої періодичної повірки,</w:t>
            </w:r>
          </w:p>
          <w:p w:rsidR="00D96E26" w:rsidRPr="004D59F6" w:rsidRDefault="00D96E26" w:rsidP="00E63ED1">
            <w:pPr>
              <w:spacing w:line="276" w:lineRule="auto"/>
              <w:jc w:val="center"/>
              <w:rPr>
                <w:rFonts w:eastAsia="Times New Roman"/>
                <w:sz w:val="20"/>
                <w:szCs w:val="20"/>
                <w:lang w:eastAsia="ru-RU"/>
              </w:rPr>
            </w:pPr>
            <w:r w:rsidRPr="004D59F6">
              <w:rPr>
                <w:rFonts w:eastAsia="Times New Roman"/>
                <w:sz w:val="20"/>
                <w:szCs w:val="20"/>
                <w:lang w:eastAsia="ru-RU"/>
              </w:rPr>
              <w:t>міжповірочний інтервал</w:t>
            </w:r>
          </w:p>
        </w:tc>
        <w:tc>
          <w:tcPr>
            <w:tcW w:w="1087" w:type="dxa"/>
            <w:tcBorders>
              <w:top w:val="single" w:sz="4" w:space="0" w:color="auto"/>
              <w:left w:val="single" w:sz="4" w:space="0" w:color="auto"/>
              <w:bottom w:val="single" w:sz="4" w:space="0" w:color="auto"/>
              <w:right w:val="single" w:sz="4" w:space="0" w:color="auto"/>
            </w:tcBorders>
            <w:vAlign w:val="center"/>
            <w:hideMark/>
          </w:tcPr>
          <w:p w:rsidR="00D96E26" w:rsidRPr="004D59F6" w:rsidRDefault="00D96E26" w:rsidP="00E63ED1">
            <w:pPr>
              <w:spacing w:line="276" w:lineRule="auto"/>
              <w:jc w:val="center"/>
              <w:rPr>
                <w:rFonts w:eastAsia="Times New Roman"/>
                <w:sz w:val="20"/>
                <w:szCs w:val="20"/>
                <w:lang w:eastAsia="ru-RU"/>
              </w:rPr>
            </w:pPr>
            <w:r w:rsidRPr="004D59F6">
              <w:rPr>
                <w:rFonts w:eastAsia="Times New Roman"/>
                <w:sz w:val="20"/>
                <w:szCs w:val="20"/>
                <w:lang w:val="ru-RU" w:eastAsia="ru-RU"/>
              </w:rPr>
              <w:t>Примітка</w:t>
            </w:r>
          </w:p>
        </w:tc>
      </w:tr>
      <w:tr w:rsidR="00D96E26" w:rsidRPr="004D59F6" w:rsidTr="00E63ED1">
        <w:trPr>
          <w:trHeight w:val="262"/>
        </w:trPr>
        <w:tc>
          <w:tcPr>
            <w:tcW w:w="543" w:type="dxa"/>
            <w:tcBorders>
              <w:top w:val="single" w:sz="4" w:space="0" w:color="auto"/>
              <w:left w:val="single" w:sz="4" w:space="0" w:color="auto"/>
              <w:bottom w:val="single" w:sz="4" w:space="0" w:color="auto"/>
              <w:right w:val="single" w:sz="4" w:space="0" w:color="auto"/>
            </w:tcBorders>
            <w:vAlign w:val="center"/>
            <w:hideMark/>
          </w:tcPr>
          <w:p w:rsidR="00D96E26" w:rsidRPr="004D59F6" w:rsidRDefault="00D96E26" w:rsidP="00E63ED1">
            <w:pPr>
              <w:spacing w:line="276" w:lineRule="auto"/>
              <w:jc w:val="both"/>
              <w:rPr>
                <w:rFonts w:eastAsia="Times New Roman"/>
                <w:sz w:val="20"/>
                <w:szCs w:val="20"/>
                <w:lang w:eastAsia="ru-RU"/>
              </w:rPr>
            </w:pPr>
            <w:r w:rsidRPr="004D59F6">
              <w:rPr>
                <w:rFonts w:eastAsia="Times New Roman"/>
                <w:sz w:val="20"/>
                <w:szCs w:val="20"/>
                <w:lang w:eastAsia="ru-RU"/>
              </w:rPr>
              <w:t>1.</w:t>
            </w:r>
          </w:p>
        </w:tc>
        <w:tc>
          <w:tcPr>
            <w:tcW w:w="2581" w:type="dxa"/>
            <w:tcBorders>
              <w:top w:val="single" w:sz="4" w:space="0" w:color="auto"/>
              <w:left w:val="single" w:sz="4" w:space="0" w:color="auto"/>
              <w:bottom w:val="single" w:sz="4" w:space="0" w:color="auto"/>
              <w:right w:val="single" w:sz="4" w:space="0" w:color="auto"/>
            </w:tcBorders>
            <w:vAlign w:val="center"/>
            <w:hideMark/>
          </w:tcPr>
          <w:p w:rsidR="00D96E26" w:rsidRPr="004D59F6" w:rsidRDefault="00D96E26" w:rsidP="00E63ED1">
            <w:pPr>
              <w:spacing w:line="276" w:lineRule="auto"/>
              <w:rPr>
                <w:rFonts w:eastAsiaTheme="minorEastAsia"/>
                <w:sz w:val="20"/>
                <w:szCs w:val="20"/>
              </w:rPr>
            </w:pPr>
          </w:p>
        </w:tc>
        <w:tc>
          <w:tcPr>
            <w:tcW w:w="1222" w:type="dxa"/>
            <w:tcBorders>
              <w:top w:val="single" w:sz="4" w:space="0" w:color="auto"/>
              <w:left w:val="single" w:sz="4" w:space="0" w:color="auto"/>
              <w:bottom w:val="single" w:sz="4" w:space="0" w:color="auto"/>
              <w:right w:val="single" w:sz="4" w:space="0" w:color="auto"/>
            </w:tcBorders>
            <w:vAlign w:val="center"/>
            <w:hideMark/>
          </w:tcPr>
          <w:p w:rsidR="00D96E26" w:rsidRPr="004D59F6" w:rsidRDefault="00D96E26" w:rsidP="00E63ED1">
            <w:pPr>
              <w:spacing w:line="276" w:lineRule="auto"/>
              <w:rPr>
                <w:rFonts w:eastAsiaTheme="minorEastAsia"/>
                <w:sz w:val="20"/>
                <w:szCs w:val="20"/>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D96E26" w:rsidRPr="004D59F6" w:rsidRDefault="00D96E26" w:rsidP="00E63ED1">
            <w:pPr>
              <w:spacing w:line="276" w:lineRule="auto"/>
              <w:rPr>
                <w:rFonts w:eastAsiaTheme="minorEastAsia"/>
                <w:sz w:val="20"/>
                <w:szCs w:val="20"/>
              </w:rPr>
            </w:pPr>
          </w:p>
        </w:tc>
        <w:tc>
          <w:tcPr>
            <w:tcW w:w="2266" w:type="dxa"/>
            <w:tcBorders>
              <w:top w:val="single" w:sz="4" w:space="0" w:color="auto"/>
              <w:left w:val="single" w:sz="4" w:space="0" w:color="auto"/>
              <w:bottom w:val="single" w:sz="4" w:space="0" w:color="auto"/>
              <w:right w:val="single" w:sz="4" w:space="0" w:color="auto"/>
            </w:tcBorders>
            <w:vAlign w:val="center"/>
            <w:hideMark/>
          </w:tcPr>
          <w:p w:rsidR="00D96E26" w:rsidRPr="004D59F6" w:rsidRDefault="00D96E26" w:rsidP="00E63ED1">
            <w:pPr>
              <w:spacing w:line="276" w:lineRule="auto"/>
              <w:rPr>
                <w:rFonts w:eastAsiaTheme="minorEastAsia"/>
                <w:sz w:val="20"/>
                <w:szCs w:val="20"/>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D96E26" w:rsidRPr="004D59F6" w:rsidRDefault="00D96E26" w:rsidP="00E63ED1">
            <w:pPr>
              <w:spacing w:line="276" w:lineRule="auto"/>
              <w:rPr>
                <w:rFonts w:eastAsiaTheme="minorEastAsia"/>
                <w:sz w:val="20"/>
                <w:szCs w:val="20"/>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D96E26" w:rsidRPr="004D59F6" w:rsidRDefault="00D96E26" w:rsidP="00E63ED1">
            <w:pPr>
              <w:spacing w:line="276" w:lineRule="auto"/>
              <w:rPr>
                <w:rFonts w:eastAsiaTheme="minorEastAsia"/>
                <w:sz w:val="20"/>
                <w:szCs w:val="20"/>
              </w:rPr>
            </w:pPr>
          </w:p>
        </w:tc>
      </w:tr>
      <w:tr w:rsidR="00D96E26" w:rsidRPr="004D59F6" w:rsidTr="00E63ED1">
        <w:trPr>
          <w:trHeight w:val="198"/>
        </w:trPr>
        <w:tc>
          <w:tcPr>
            <w:tcW w:w="543" w:type="dxa"/>
            <w:tcBorders>
              <w:top w:val="single" w:sz="4" w:space="0" w:color="auto"/>
              <w:left w:val="single" w:sz="4" w:space="0" w:color="auto"/>
              <w:bottom w:val="single" w:sz="4" w:space="0" w:color="auto"/>
              <w:right w:val="single" w:sz="4" w:space="0" w:color="auto"/>
            </w:tcBorders>
            <w:vAlign w:val="center"/>
            <w:hideMark/>
          </w:tcPr>
          <w:p w:rsidR="00D96E26" w:rsidRPr="004D59F6" w:rsidRDefault="00D96E26" w:rsidP="00E63ED1">
            <w:pPr>
              <w:spacing w:line="276" w:lineRule="auto"/>
              <w:jc w:val="both"/>
              <w:rPr>
                <w:rFonts w:eastAsia="Times New Roman"/>
                <w:sz w:val="20"/>
                <w:szCs w:val="20"/>
                <w:lang w:eastAsia="ru-RU"/>
              </w:rPr>
            </w:pPr>
            <w:r w:rsidRPr="004D59F6">
              <w:rPr>
                <w:rFonts w:eastAsia="Times New Roman"/>
                <w:sz w:val="20"/>
                <w:szCs w:val="20"/>
                <w:lang w:eastAsia="ru-RU"/>
              </w:rPr>
              <w:t>2.</w:t>
            </w:r>
          </w:p>
        </w:tc>
        <w:tc>
          <w:tcPr>
            <w:tcW w:w="2581" w:type="dxa"/>
            <w:tcBorders>
              <w:top w:val="single" w:sz="4" w:space="0" w:color="auto"/>
              <w:left w:val="single" w:sz="4" w:space="0" w:color="auto"/>
              <w:bottom w:val="single" w:sz="4" w:space="0" w:color="auto"/>
              <w:right w:val="single" w:sz="4" w:space="0" w:color="auto"/>
            </w:tcBorders>
            <w:vAlign w:val="center"/>
            <w:hideMark/>
          </w:tcPr>
          <w:p w:rsidR="00D96E26" w:rsidRPr="004D59F6" w:rsidRDefault="00D96E26" w:rsidP="00E63ED1">
            <w:pPr>
              <w:spacing w:line="276" w:lineRule="auto"/>
              <w:rPr>
                <w:rFonts w:eastAsiaTheme="minorEastAsia"/>
                <w:sz w:val="20"/>
                <w:szCs w:val="20"/>
              </w:rPr>
            </w:pPr>
          </w:p>
        </w:tc>
        <w:tc>
          <w:tcPr>
            <w:tcW w:w="1222" w:type="dxa"/>
            <w:tcBorders>
              <w:top w:val="single" w:sz="4" w:space="0" w:color="auto"/>
              <w:left w:val="single" w:sz="4" w:space="0" w:color="auto"/>
              <w:bottom w:val="single" w:sz="4" w:space="0" w:color="auto"/>
              <w:right w:val="single" w:sz="4" w:space="0" w:color="auto"/>
            </w:tcBorders>
            <w:vAlign w:val="center"/>
            <w:hideMark/>
          </w:tcPr>
          <w:p w:rsidR="00D96E26" w:rsidRPr="004D59F6" w:rsidRDefault="00D96E26" w:rsidP="00E63ED1">
            <w:pPr>
              <w:spacing w:line="276" w:lineRule="auto"/>
              <w:rPr>
                <w:rFonts w:eastAsiaTheme="minorEastAsia"/>
                <w:sz w:val="20"/>
                <w:szCs w:val="20"/>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D96E26" w:rsidRPr="004D59F6" w:rsidRDefault="00D96E26" w:rsidP="00E63ED1">
            <w:pPr>
              <w:spacing w:line="276" w:lineRule="auto"/>
              <w:rPr>
                <w:rFonts w:eastAsiaTheme="minorEastAsia"/>
                <w:sz w:val="20"/>
                <w:szCs w:val="20"/>
              </w:rPr>
            </w:pPr>
          </w:p>
        </w:tc>
        <w:tc>
          <w:tcPr>
            <w:tcW w:w="2266" w:type="dxa"/>
            <w:tcBorders>
              <w:top w:val="single" w:sz="4" w:space="0" w:color="auto"/>
              <w:left w:val="single" w:sz="4" w:space="0" w:color="auto"/>
              <w:bottom w:val="single" w:sz="4" w:space="0" w:color="auto"/>
              <w:right w:val="single" w:sz="4" w:space="0" w:color="auto"/>
            </w:tcBorders>
            <w:vAlign w:val="center"/>
            <w:hideMark/>
          </w:tcPr>
          <w:p w:rsidR="00D96E26" w:rsidRPr="004D59F6" w:rsidRDefault="00D96E26" w:rsidP="00E63ED1">
            <w:pPr>
              <w:spacing w:line="276" w:lineRule="auto"/>
              <w:rPr>
                <w:rFonts w:eastAsiaTheme="minorEastAsia"/>
                <w:sz w:val="20"/>
                <w:szCs w:val="20"/>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D96E26" w:rsidRPr="004D59F6" w:rsidRDefault="00D96E26" w:rsidP="00E63ED1">
            <w:pPr>
              <w:spacing w:line="276" w:lineRule="auto"/>
              <w:rPr>
                <w:rFonts w:eastAsiaTheme="minorEastAsia"/>
                <w:sz w:val="20"/>
                <w:szCs w:val="20"/>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D96E26" w:rsidRPr="004D59F6" w:rsidRDefault="00D96E26" w:rsidP="00E63ED1">
            <w:pPr>
              <w:spacing w:line="276" w:lineRule="auto"/>
              <w:rPr>
                <w:rFonts w:eastAsiaTheme="minorEastAsia"/>
                <w:sz w:val="20"/>
                <w:szCs w:val="20"/>
              </w:rPr>
            </w:pPr>
          </w:p>
        </w:tc>
      </w:tr>
      <w:tr w:rsidR="00D96E26" w:rsidRPr="004D59F6" w:rsidTr="00E63ED1">
        <w:trPr>
          <w:trHeight w:val="198"/>
        </w:trPr>
        <w:tc>
          <w:tcPr>
            <w:tcW w:w="543" w:type="dxa"/>
            <w:tcBorders>
              <w:top w:val="single" w:sz="4" w:space="0" w:color="auto"/>
              <w:left w:val="single" w:sz="4" w:space="0" w:color="auto"/>
              <w:right w:val="single" w:sz="4" w:space="0" w:color="auto"/>
            </w:tcBorders>
            <w:vAlign w:val="center"/>
            <w:hideMark/>
          </w:tcPr>
          <w:p w:rsidR="00D96E26" w:rsidRPr="004D59F6" w:rsidRDefault="00D96E26" w:rsidP="00E63ED1">
            <w:pPr>
              <w:spacing w:line="276" w:lineRule="auto"/>
              <w:jc w:val="both"/>
              <w:rPr>
                <w:rFonts w:eastAsia="Times New Roman"/>
                <w:sz w:val="20"/>
                <w:szCs w:val="20"/>
                <w:lang w:eastAsia="ru-RU"/>
              </w:rPr>
            </w:pPr>
            <w:r w:rsidRPr="004D59F6">
              <w:rPr>
                <w:rFonts w:eastAsia="Times New Roman"/>
                <w:sz w:val="20"/>
                <w:szCs w:val="20"/>
                <w:lang w:eastAsia="ru-RU"/>
              </w:rPr>
              <w:t>3.</w:t>
            </w:r>
          </w:p>
        </w:tc>
        <w:tc>
          <w:tcPr>
            <w:tcW w:w="2581" w:type="dxa"/>
            <w:tcBorders>
              <w:top w:val="single" w:sz="4" w:space="0" w:color="auto"/>
              <w:left w:val="single" w:sz="4" w:space="0" w:color="auto"/>
              <w:right w:val="single" w:sz="4" w:space="0" w:color="auto"/>
            </w:tcBorders>
            <w:vAlign w:val="center"/>
            <w:hideMark/>
          </w:tcPr>
          <w:p w:rsidR="00D96E26" w:rsidRPr="004D59F6" w:rsidRDefault="00D96E26" w:rsidP="00E63ED1">
            <w:pPr>
              <w:spacing w:line="276" w:lineRule="auto"/>
              <w:rPr>
                <w:rFonts w:eastAsiaTheme="minorEastAsia"/>
                <w:sz w:val="20"/>
                <w:szCs w:val="20"/>
              </w:rPr>
            </w:pPr>
          </w:p>
        </w:tc>
        <w:tc>
          <w:tcPr>
            <w:tcW w:w="1222" w:type="dxa"/>
            <w:tcBorders>
              <w:top w:val="single" w:sz="4" w:space="0" w:color="auto"/>
              <w:left w:val="single" w:sz="4" w:space="0" w:color="auto"/>
              <w:right w:val="single" w:sz="4" w:space="0" w:color="auto"/>
            </w:tcBorders>
            <w:vAlign w:val="center"/>
            <w:hideMark/>
          </w:tcPr>
          <w:p w:rsidR="00D96E26" w:rsidRPr="004D59F6" w:rsidRDefault="00D96E26" w:rsidP="00E63ED1">
            <w:pPr>
              <w:spacing w:line="276" w:lineRule="auto"/>
              <w:rPr>
                <w:rFonts w:eastAsiaTheme="minorEastAsia"/>
                <w:sz w:val="20"/>
                <w:szCs w:val="20"/>
              </w:rPr>
            </w:pPr>
          </w:p>
        </w:tc>
        <w:tc>
          <w:tcPr>
            <w:tcW w:w="1087" w:type="dxa"/>
            <w:tcBorders>
              <w:top w:val="single" w:sz="4" w:space="0" w:color="auto"/>
              <w:left w:val="single" w:sz="4" w:space="0" w:color="auto"/>
              <w:right w:val="single" w:sz="4" w:space="0" w:color="auto"/>
            </w:tcBorders>
            <w:vAlign w:val="center"/>
            <w:hideMark/>
          </w:tcPr>
          <w:p w:rsidR="00D96E26" w:rsidRPr="004D59F6" w:rsidRDefault="00D96E26" w:rsidP="00E63ED1">
            <w:pPr>
              <w:spacing w:line="276" w:lineRule="auto"/>
              <w:rPr>
                <w:rFonts w:eastAsiaTheme="minorEastAsia"/>
                <w:sz w:val="20"/>
                <w:szCs w:val="20"/>
              </w:rPr>
            </w:pPr>
          </w:p>
        </w:tc>
        <w:tc>
          <w:tcPr>
            <w:tcW w:w="2266" w:type="dxa"/>
            <w:tcBorders>
              <w:top w:val="single" w:sz="4" w:space="0" w:color="auto"/>
              <w:left w:val="single" w:sz="4" w:space="0" w:color="auto"/>
              <w:right w:val="single" w:sz="4" w:space="0" w:color="auto"/>
            </w:tcBorders>
            <w:vAlign w:val="center"/>
            <w:hideMark/>
          </w:tcPr>
          <w:p w:rsidR="00D96E26" w:rsidRPr="004D59F6" w:rsidRDefault="00D96E26" w:rsidP="00E63ED1">
            <w:pPr>
              <w:spacing w:line="276" w:lineRule="auto"/>
              <w:rPr>
                <w:rFonts w:eastAsiaTheme="minorEastAsia"/>
                <w:sz w:val="20"/>
                <w:szCs w:val="20"/>
              </w:rPr>
            </w:pPr>
          </w:p>
        </w:tc>
        <w:tc>
          <w:tcPr>
            <w:tcW w:w="1946" w:type="dxa"/>
            <w:tcBorders>
              <w:top w:val="single" w:sz="4" w:space="0" w:color="auto"/>
              <w:left w:val="single" w:sz="4" w:space="0" w:color="auto"/>
              <w:right w:val="single" w:sz="4" w:space="0" w:color="auto"/>
            </w:tcBorders>
            <w:vAlign w:val="center"/>
            <w:hideMark/>
          </w:tcPr>
          <w:p w:rsidR="00D96E26" w:rsidRPr="004D59F6" w:rsidRDefault="00D96E26" w:rsidP="00E63ED1">
            <w:pPr>
              <w:spacing w:line="276" w:lineRule="auto"/>
              <w:rPr>
                <w:rFonts w:eastAsiaTheme="minorEastAsia"/>
                <w:sz w:val="20"/>
                <w:szCs w:val="20"/>
              </w:rPr>
            </w:pPr>
          </w:p>
        </w:tc>
        <w:tc>
          <w:tcPr>
            <w:tcW w:w="1087" w:type="dxa"/>
            <w:tcBorders>
              <w:top w:val="single" w:sz="4" w:space="0" w:color="auto"/>
              <w:left w:val="single" w:sz="4" w:space="0" w:color="auto"/>
              <w:right w:val="single" w:sz="4" w:space="0" w:color="auto"/>
            </w:tcBorders>
            <w:vAlign w:val="center"/>
            <w:hideMark/>
          </w:tcPr>
          <w:p w:rsidR="00D96E26" w:rsidRPr="004D59F6" w:rsidRDefault="00D96E26" w:rsidP="00E63ED1">
            <w:pPr>
              <w:spacing w:line="276" w:lineRule="auto"/>
              <w:rPr>
                <w:rFonts w:eastAsiaTheme="minorEastAsia"/>
                <w:sz w:val="20"/>
                <w:szCs w:val="20"/>
              </w:rPr>
            </w:pPr>
          </w:p>
        </w:tc>
      </w:tr>
    </w:tbl>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У разі внесення змін до характеристики вузлів розподільного обліку води такі зміни вважаються внесеними до Договору шляхом належного оформлення акта взяття на абонентський облік.</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12. Обслуговування, поточний та капітальний ремонти внутрішньобудинкових систем, що забезпечують надання послуг у багатоквартирному будинку, здійснюються споживачами або уповноваженими на виконання таких робіт особами за рахунок споживачів.</w:t>
      </w:r>
    </w:p>
    <w:p w:rsidR="00D96E26" w:rsidRPr="004D59F6" w:rsidRDefault="00D96E26" w:rsidP="00D96E26">
      <w:pPr>
        <w:jc w:val="center"/>
        <w:rPr>
          <w:rFonts w:eastAsia="Times New Roman"/>
          <w:b/>
          <w:sz w:val="20"/>
          <w:szCs w:val="20"/>
          <w:lang w:eastAsia="ru-RU"/>
        </w:rPr>
      </w:pPr>
      <w:r w:rsidRPr="004D59F6">
        <w:rPr>
          <w:rFonts w:eastAsia="Times New Roman"/>
          <w:b/>
          <w:sz w:val="20"/>
          <w:szCs w:val="20"/>
          <w:lang w:eastAsia="ru-RU"/>
        </w:rPr>
        <w:t>Розмір плати за послуги</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val="ru-RU" w:eastAsia="ru-RU"/>
        </w:rPr>
        <w:t>13</w:t>
      </w:r>
      <w:r w:rsidRPr="004D59F6">
        <w:rPr>
          <w:rFonts w:eastAsia="Times New Roman"/>
          <w:sz w:val="20"/>
          <w:szCs w:val="20"/>
          <w:lang w:eastAsia="ru-RU"/>
        </w:rPr>
        <w:t>. Тарифи на послуги встановлюються уповноваженими законом державними органами або органами місцевого самоврядування відповідно до закону та становлять:</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на послугу з централі</w:t>
      </w:r>
      <w:r>
        <w:rPr>
          <w:rFonts w:eastAsia="Times New Roman"/>
          <w:sz w:val="20"/>
          <w:szCs w:val="20"/>
          <w:lang w:eastAsia="ru-RU"/>
        </w:rPr>
        <w:t xml:space="preserve">зованого водопостачання -   </w:t>
      </w:r>
      <w:r w:rsidRPr="004D59F6">
        <w:rPr>
          <w:rFonts w:eastAsia="Times New Roman"/>
          <w:b/>
          <w:sz w:val="20"/>
          <w:szCs w:val="20"/>
          <w:lang w:eastAsia="ru-RU"/>
        </w:rPr>
        <w:t>43,55</w:t>
      </w:r>
      <w:r w:rsidRPr="004D59F6">
        <w:rPr>
          <w:rFonts w:eastAsia="Times New Roman"/>
          <w:sz w:val="20"/>
          <w:szCs w:val="20"/>
          <w:lang w:eastAsia="ru-RU"/>
        </w:rPr>
        <w:t xml:space="preserve"> гривень за 1 куб. метр;</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на послугу з централ</w:t>
      </w:r>
      <w:r>
        <w:rPr>
          <w:rFonts w:eastAsia="Times New Roman"/>
          <w:sz w:val="20"/>
          <w:szCs w:val="20"/>
          <w:lang w:eastAsia="ru-RU"/>
        </w:rPr>
        <w:t>ізованого водовідведення   -</w:t>
      </w:r>
      <w:r w:rsidRPr="004D59F6">
        <w:rPr>
          <w:rFonts w:eastAsia="Times New Roman"/>
          <w:sz w:val="20"/>
          <w:szCs w:val="20"/>
          <w:lang w:eastAsia="ru-RU"/>
        </w:rPr>
        <w:t xml:space="preserve">   </w:t>
      </w:r>
      <w:r w:rsidRPr="004D59F6">
        <w:rPr>
          <w:rFonts w:eastAsia="Times New Roman"/>
          <w:b/>
          <w:sz w:val="20"/>
          <w:szCs w:val="20"/>
          <w:lang w:eastAsia="ru-RU"/>
        </w:rPr>
        <w:t xml:space="preserve">18,09 </w:t>
      </w:r>
      <w:r w:rsidRPr="004D59F6">
        <w:rPr>
          <w:rFonts w:eastAsia="Times New Roman"/>
          <w:sz w:val="20"/>
          <w:szCs w:val="20"/>
          <w:lang w:eastAsia="ru-RU"/>
        </w:rPr>
        <w:t>гривень за 1 куб. метр;</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У разі прийняття уповноваженим органом рішення про зміну тарифів на послуги виконавець у строк, що не перевищує 15 днів з дати введення їх у дію, повідомляє про це споживачам із зазначенням рішення відповідних органів.</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У разі зміни тарифів у період дії Договору нові тарифи застосовуються з моменту їх введення в дію без внесення додаткових змін до Договору.</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14. Плата за послуги складається з:</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 плати за послугу, що розраховується виходячи з розміру затверджених тарифів на послугу та обсягу спожитих послуг, визначеного відповідно до законодавства;</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2) плати за абонентське обслуговування, граничний розмір якої визначається Кабінетом Міністрів України.</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 xml:space="preserve">   Плата за абонентське обслуговування становить  </w:t>
      </w:r>
      <w:r>
        <w:rPr>
          <w:rFonts w:eastAsia="Times New Roman"/>
          <w:sz w:val="20"/>
          <w:szCs w:val="20"/>
          <w:lang w:eastAsia="ru-RU"/>
        </w:rPr>
        <w:t xml:space="preserve">- </w:t>
      </w:r>
      <w:r w:rsidRPr="004D59F6">
        <w:rPr>
          <w:rFonts w:eastAsia="Times New Roman"/>
          <w:b/>
          <w:sz w:val="20"/>
          <w:szCs w:val="20"/>
          <w:lang w:eastAsia="ru-RU"/>
        </w:rPr>
        <w:t xml:space="preserve">32,19 </w:t>
      </w:r>
      <w:r w:rsidRPr="004D59F6">
        <w:rPr>
          <w:rFonts w:eastAsia="Times New Roman"/>
          <w:sz w:val="20"/>
          <w:szCs w:val="20"/>
          <w:lang w:eastAsia="ru-RU"/>
        </w:rPr>
        <w:t>гривень на місяць.</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У разі зміни розміру плати за абонентське обслуговування у період дії Договору, нова плата за абонентське обслуговування застосовується з моменту її введення в дію без додаткових змін до Договору.</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val="ru-RU" w:eastAsia="ru-RU"/>
        </w:rPr>
        <w:t>15</w:t>
      </w:r>
      <w:r w:rsidRPr="004D59F6">
        <w:rPr>
          <w:rFonts w:eastAsia="Times New Roman"/>
          <w:sz w:val="20"/>
          <w:szCs w:val="20"/>
          <w:lang w:eastAsia="ru-RU"/>
        </w:rPr>
        <w:t>. Розмір внесків за встановлення та заміну вузлів комерційного обліку (у разі встановлення виконавцем) визначається окремо для кожної будівлі. Сплата внесків розстрочується на ____ років.</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16. Розмір внесків за обслуговування вузлів комерційного обліку визначається окремо для кожної будівлі з розрахунку на один рік та коригується щороку.</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w:t>
      </w:r>
      <w:r w:rsidRPr="004D59F6">
        <w:rPr>
          <w:rFonts w:eastAsia="Times New Roman"/>
          <w:sz w:val="20"/>
          <w:szCs w:val="20"/>
          <w:lang w:val="ru-RU" w:eastAsia="ru-RU"/>
        </w:rPr>
        <w:t>7</w:t>
      </w:r>
      <w:r w:rsidRPr="004D59F6">
        <w:rPr>
          <w:rFonts w:eastAsia="Times New Roman"/>
          <w:sz w:val="20"/>
          <w:szCs w:val="20"/>
          <w:lang w:eastAsia="ru-RU"/>
        </w:rPr>
        <w:t>. Розмір внесків за встановлення, обслуговування та заміну вузлів комерційного обліку послуг з централізованого водопостачання встановлюється виконавчими органами сільських, селищних, міських рад відповідно до вимог Закону України “Про комерційний облік теплової енергії та водопостачання” та становить ________________ гривень на місяць.</w:t>
      </w:r>
    </w:p>
    <w:p w:rsidR="00D96E26" w:rsidRPr="004D59F6" w:rsidRDefault="00D96E26" w:rsidP="00D96E26">
      <w:pPr>
        <w:jc w:val="both"/>
        <w:rPr>
          <w:rFonts w:eastAsia="Times New Roman"/>
          <w:sz w:val="20"/>
          <w:szCs w:val="20"/>
          <w:lang w:eastAsia="ru-RU"/>
        </w:rPr>
      </w:pPr>
    </w:p>
    <w:p w:rsidR="00D96E26" w:rsidRPr="004D59F6" w:rsidRDefault="00D96E26" w:rsidP="00D96E26">
      <w:pPr>
        <w:jc w:val="center"/>
        <w:rPr>
          <w:rFonts w:eastAsia="Times New Roman"/>
          <w:b/>
          <w:sz w:val="20"/>
          <w:szCs w:val="20"/>
          <w:lang w:eastAsia="ru-RU"/>
        </w:rPr>
      </w:pPr>
      <w:r w:rsidRPr="004D59F6">
        <w:rPr>
          <w:rFonts w:eastAsia="Times New Roman"/>
          <w:b/>
          <w:sz w:val="20"/>
          <w:szCs w:val="20"/>
          <w:lang w:eastAsia="ru-RU"/>
        </w:rPr>
        <w:t>Облік та порядок оплати послуг</w:t>
      </w:r>
    </w:p>
    <w:p w:rsidR="00D96E26" w:rsidRPr="004D59F6" w:rsidRDefault="00D96E26" w:rsidP="00D96E26">
      <w:pPr>
        <w:jc w:val="both"/>
        <w:rPr>
          <w:rFonts w:eastAsia="Times New Roman"/>
          <w:sz w:val="20"/>
          <w:szCs w:val="20"/>
          <w:lang w:eastAsia="ru-RU"/>
        </w:rPr>
      </w:pPr>
      <w:bookmarkStart w:id="0" w:name="n98"/>
      <w:bookmarkEnd w:id="0"/>
      <w:r w:rsidRPr="004D59F6">
        <w:rPr>
          <w:rFonts w:eastAsia="Times New Roman"/>
          <w:sz w:val="20"/>
          <w:szCs w:val="20"/>
          <w:lang w:eastAsia="ru-RU"/>
        </w:rPr>
        <w:t>18. Оператор зовнішніх інженерних мереж, до яких приєднана будівля, має право доступу до приміщень у будівлі, де встановлено вузли комерційного обліку, для проведення їх обслуговування та/або заміни, а також для зняття показань.</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19. Виконавець має право доступу до будівель, приміщень і споруд, у яких встановлено вузли комерційного обліку, для проведення перевірки схоронності таких вузлів обліку та зняття показань.</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20. Виконавець або визначена споживачами особа, що здійснює розподіл обсягів послуг, визначених за допомогою вузла комерційного обліку, між споживачами, має право доступу до приміщень, в яких встановлено вузли розподільного обліку, за показаннями яких здійснюється такий розподіл.</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21. Уповноважені посадові особи органів ліцензування, органів місцевого самоврядування мають право доступу до будівель, приміщень і споруд, у яких встановлено вузли комерційного обліку, для проведення перевірки наявності, функціонування таких вузлів та здійснення контролю за правильністю зняття показань.</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22. Споживач або його представник має право доступу до місць встановлення вузлів комерційного обліку для проведення перевірки їх схоронності та зняття показань.</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23. Для отримання доступу до вузлів обліку оператор зовнішніх інженерних мереж, виконавець, уповноважені посадові особи органів ліцензування, органів місцевого самоврядування звертаються до споживача за допомогою телефонного зв’язку або в письмовій формі за поштовою або електронною адресою, що зазначена у договорі, щодо доступу до вузлів обліку із зазначенням його мети і дати.</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24. Споживач забезпечує у зазначений у зверненні строк доступ представників оператора зовнішніх інженерних мереж, виконавця, уповноважених посадових осіб органів ліцензування, органів місцевого самоврядування до вузлів обліку після пред’явлення ними відповідних службових посвідчень.</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У разі неможливості споживача у зазначений строк забезпечити такий доступ інший строк доступу до вузла обліку узгоджується додатково.</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val="ru-RU" w:eastAsia="ru-RU"/>
        </w:rPr>
        <w:t>25</w:t>
      </w:r>
      <w:r w:rsidRPr="004D59F6">
        <w:rPr>
          <w:rFonts w:eastAsia="Times New Roman"/>
          <w:sz w:val="20"/>
          <w:szCs w:val="20"/>
          <w:lang w:eastAsia="ru-RU"/>
        </w:rPr>
        <w:t>. Розрахунковим періодом для оплати послуг є календарний місяць.</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lastRenderedPageBreak/>
        <w:t>Оплата послуг здійснюється не пізніше 20 числа місяця, що настає за розрахунковим періодом, якщо інше не визначено договором.</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 xml:space="preserve">  Рахунки на оплату послуг формуються виконавцем (якщо не визначено споживачами особу, що здійснює розподіл обсягів послуг), на основі показань вузлів комерційного обліку з урахуванням показань вузлів розподільного обліку відповідно до Закону України “Про комерційний облік теплової енергії та водопостачання” та надаються споживачеві (його представникові) у строк не пізніше ніж за 10 календарних днів до граничного строку внесення плати за послуги.</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 xml:space="preserve">      Рахунки надаються у паперовому вигляді. За згодою споживача рахунки можуть надаватися йому в електронному вигляді, зокрема шляхом доступу до електронних систем обліку розрахунків. Рахунки надаються споживачеві на безоплатній основі.</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val="ru-RU" w:eastAsia="ru-RU"/>
        </w:rPr>
        <w:t>26</w:t>
      </w:r>
      <w:r w:rsidRPr="004D59F6">
        <w:rPr>
          <w:rFonts w:eastAsia="Times New Roman"/>
          <w:sz w:val="20"/>
          <w:szCs w:val="20"/>
          <w:lang w:eastAsia="ru-RU"/>
        </w:rPr>
        <w:t xml:space="preserve">. Показання вузлів розподільного обліку (у тому числі власної води) знімаються споживачем щомісяця з 25 числа до останнього робочого дня розрахункового періоду та надаються виконавцеві у цей самий строк   одним з таких способів, як телефоном-(04135)2-25-82, факсом- (04135)2-18-74, в особистому кабінеті на сайті </w:t>
      </w:r>
      <w:hyperlink r:id="rId5" w:history="1">
        <w:r w:rsidRPr="004D59F6">
          <w:rPr>
            <w:rFonts w:eastAsia="Times New Roman"/>
            <w:color w:val="0000FF" w:themeColor="hyperlink"/>
            <w:sz w:val="20"/>
            <w:szCs w:val="20"/>
            <w:u w:val="single"/>
            <w:lang w:eastAsia="ru-RU"/>
          </w:rPr>
          <w:t>www.abon.com.ua</w:t>
        </w:r>
      </w:hyperlink>
      <w:r w:rsidRPr="004D59F6">
        <w:rPr>
          <w:rFonts w:eastAsia="Times New Roman"/>
          <w:color w:val="0000FF" w:themeColor="hyperlink"/>
          <w:sz w:val="20"/>
          <w:szCs w:val="20"/>
          <w:u w:val="single"/>
          <w:lang w:eastAsia="ru-RU"/>
        </w:rPr>
        <w:t>.</w:t>
      </w:r>
      <w:r w:rsidRPr="004D59F6">
        <w:rPr>
          <w:rFonts w:eastAsia="Times New Roman"/>
          <w:sz w:val="20"/>
          <w:szCs w:val="20"/>
          <w:lang w:eastAsia="ru-RU"/>
        </w:rPr>
        <w:t xml:space="preserve"> або в інший спосіб, доведений до відома виконавця  та зазначаються у рахунку на оплату послуг.</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27. У разі ненадання у визначений договором строк споживачем виконавцеві показань вузлів розподільного обліку виконавцем протягом трьох місяців приймається середньодобове споживання відповідної послуги за попередні 12 місяців.</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Після відновлення надання показань відповідних вузлів обліку виконавець зобов</w:t>
      </w:r>
      <w:r w:rsidRPr="004D59F6">
        <w:rPr>
          <w:rFonts w:eastAsia="Times New Roman"/>
          <w:sz w:val="20"/>
          <w:szCs w:val="20"/>
          <w:lang w:val="ru-RU" w:eastAsia="ru-RU"/>
        </w:rPr>
        <w:t>’</w:t>
      </w:r>
      <w:r w:rsidRPr="004D59F6">
        <w:rPr>
          <w:rFonts w:eastAsia="Times New Roman"/>
          <w:sz w:val="20"/>
          <w:szCs w:val="20"/>
          <w:lang w:eastAsia="ru-RU"/>
        </w:rPr>
        <w:t>язаний здійснити перерахунок за надані послуги.</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28. Розподіл обсягів наданих послуг між споживачами здійснюється відповідно до Методики розподілу між споживачами обсягів спожитих у будівлі комунальних послуг, затвердженої Мінрегіоном.</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29. 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інших джерел водопостачання (власних).</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30. До встановлення вузла комерційного обліку обсяги споживання питної води визначаються за показаннями вузлів розподільного обліку, а у разі їх відсутності - за нормами споживання, встановленими органам місцевого самоврядування.</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 xml:space="preserve">  Загальний обсяг споживання питної води у такій будівлі визначається як сума обсягу, визначеного за допомогою вузлів розподільного обліку, та розрахункового обсягу, визначеного за нормою споживання для споживачів, приміщення яких не оснащені вузлами розподільного обліку.</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31. Обсяг споживання наданих послуг для споживачів, у яких відсутні вузли розподільного обліку, здійснюється розрахунково відповідно до Методики розподілу між споживачами обсягів спожитих у будівлі комунальних послуг, затвердженої Мінрегіоном.</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32. У разі виходу з ладу або втрати вузла комерційного обліку до відновлення його роботи або заміни ведення комерційного обліку здійснюється розрахунково відповідно до Методики розподілу між споживачами обсягів спожитих у будівлі комунальних послуг з урахуванням середнього споживання питної води протягом попередніх 12 місяців (якщо попередніх місяців нараховується менш як 12, за фактичний час споживання послуги, але не менш як 15 діб).</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33. Оплата послуг здійснюється в безготівковій або готівковій формі. За бажанням споживача оплата послуг може здійснюватися шляхом внесення авансових платежів.</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У разі авансової оплати послуг виконавець періодично один раз на шість місяців здійснює перерахунок плати за фактично надані послуги, про що повідомляє споживачеві.</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34. У разі несвоєчасного здійснення платежів за послуги споживач сплачує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 xml:space="preserve">  Нарахування пені починається з першого робочого дня, що настає за останнім днем граничного строку внесення плати за послуги.</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 xml:space="preserve">  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 xml:space="preserve">35. У разі ненадання послуг, надання їх не в повному обсязі або неналежної якості виконавець проводить перерахунок вартості послуги у порядку, затвердженому Кабінетом Міністрів України, та сплачує споживачеві неустойку (штраф, пеню) у розмірі  0,01відсотків  суми здійсненого перерахунку вартості послуги. </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val="ru-RU" w:eastAsia="ru-RU"/>
        </w:rPr>
        <w:t>36</w:t>
      </w:r>
      <w:r w:rsidRPr="004D59F6">
        <w:rPr>
          <w:rFonts w:eastAsia="Times New Roman"/>
          <w:sz w:val="20"/>
          <w:szCs w:val="20"/>
          <w:lang w:eastAsia="ru-RU"/>
        </w:rPr>
        <w:t>. Плата за абонентське обслуговування сплачується споживачем виконавцеві щомісяця.</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37. Розмір внесків за встановлення, обслуговування та заміну вузлів комерційного обліку послуг з централізованого водопостачання встановлюється відповідно до методики визначення розміру внесків за встановлення, обслуговування та заміну вузлів комерційного обліку та їх розподілу між споживачами комунальних послуг, власниками (співвласниками) приміщень, обладнаних індивідуальними системами опалення та/або гарячого водопостачання, затвердженої Мінрегіоном.</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38. У разі виявлення у будівлі витоків води із внутрішньобудинкових систем централізованого водопостачання протягом періоду, за який здійснюється розрахунок за послуги з централізованого водопостачання, розподіл обсягів наданих послуг між споживачами здійснюється відповідно до Методики розподілу між споживачами обсягів спожитих у будівлі комунальних послуг.</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39. Дієздатні особи, які проживають та/або зареєстровані у житлі споживача, користуються послугами та несуть солідарну відповідальність за зобов’язаннями з оплати послуг.</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lastRenderedPageBreak/>
        <w:t>40. У разі тимчасової відсутності споживача та інших осіб понад 30 календарних днів споживач може письмово повідомити про це виконавцеві та надати відповідне документальне підтвердження. У такому разі споживач має право на неоплату вартості послуг (у разі відсутності приладів обліку в житловому приміщенні (іншому об’єкті нерухомого майна).</w:t>
      </w:r>
    </w:p>
    <w:p w:rsidR="00D96E26" w:rsidRPr="004D59F6" w:rsidRDefault="00D96E26" w:rsidP="00D96E26">
      <w:pPr>
        <w:jc w:val="both"/>
        <w:rPr>
          <w:rFonts w:eastAsia="Times New Roman"/>
          <w:sz w:val="20"/>
          <w:szCs w:val="20"/>
          <w:lang w:eastAsia="ru-RU"/>
        </w:rPr>
      </w:pPr>
    </w:p>
    <w:p w:rsidR="00D96E26" w:rsidRPr="004D59F6" w:rsidRDefault="00D96E26" w:rsidP="00D96E26">
      <w:pPr>
        <w:jc w:val="center"/>
        <w:rPr>
          <w:rFonts w:eastAsia="Times New Roman"/>
          <w:b/>
          <w:sz w:val="20"/>
          <w:szCs w:val="20"/>
          <w:lang w:eastAsia="ru-RU"/>
        </w:rPr>
      </w:pPr>
      <w:r w:rsidRPr="004D59F6">
        <w:rPr>
          <w:rFonts w:eastAsia="Times New Roman"/>
          <w:b/>
          <w:sz w:val="20"/>
          <w:szCs w:val="20"/>
          <w:lang w:eastAsia="ru-RU"/>
        </w:rPr>
        <w:t>Права та обов’язки сторін</w:t>
      </w:r>
    </w:p>
    <w:p w:rsidR="00D96E26" w:rsidRPr="00DA02BE" w:rsidRDefault="00D96E26" w:rsidP="00D96E26">
      <w:pPr>
        <w:jc w:val="both"/>
        <w:rPr>
          <w:rFonts w:eastAsia="Times New Roman"/>
          <w:sz w:val="20"/>
          <w:szCs w:val="20"/>
          <w:lang w:eastAsia="ru-RU"/>
        </w:rPr>
      </w:pPr>
      <w:r w:rsidRPr="00DA02BE">
        <w:rPr>
          <w:rFonts w:eastAsia="Times New Roman"/>
          <w:sz w:val="20"/>
          <w:szCs w:val="20"/>
          <w:lang w:eastAsia="ru-RU"/>
        </w:rPr>
        <w:t>41. Споживач має право на:</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 підключення в установленому порядку до систем централізованого водопостачання та водовідведення;</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2) забезпечення питною водою, якість якої відповідає державним санітарним нормам та правилам, кількість і режим подання якої визначаються на договірних засадах, в обсязі, не меншому від нормативів питного водопостачання;</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3) одержання в установленому порядку повної, достовірної, своєчасної інформації про якість питної води та режим її постачання;</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4) забезпечення послугами з централізованого водовідведення відповідно до нормативів гранично допустимих концентрацій та нормативів гранично допустимого скидання забруднюючих речовин;</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5) пред’явлення позовів до суду про відшкодування збитків, завданих внаслідок постачання неякісної питної води, що не відповідає державним санітарним нормам та правилам, інших порушень вимог законодавства у сфері питної води, питного водопостачання та централізованого водовідведення;</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6) своєчасне одержання послуг належної якості згідно із законодавством і умовами договору;</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7) одержання без додаткової оплати від виконавця інформації про тарифи, розмір місячного платежу, структури тарифу, норми споживання та порядок надання послуг, а також про їх споживчі властивості;</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8)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(інший об’єкт нерухомого майна);</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9) зменшення у встановленому законодавством порядку розміру плати за послуги у разі їх ненадання, надання не в повному обсязі або зниження їх якості;</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10) неоплату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відповідно до умов договору;</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11) отримання від виконавця штрафу за перевищення нормативних строків проведення аварійно-відновних робіт у розмірі 0,01 відсотків середньомісячної плати за послугу за попередні 12 місяців (якщо попередніх місяців нараховується менш як 12, за фактичний час споживання послуги) за кожну добу такого перевищення;</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12) проведення перевірки кількості та якості послуг у встановленому законодавством порядку;</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13) складення та підписання актів-претензій у зв’язку з порушенням порядку надання послуг, зміною їх споживчих властивостей та перевищенням строків проведення аварійно-відновних робіт;</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14) отримання без додаткової оплати від виконавця детального розрахунку розподілу обсягу спожитих послуг між споживачами багатоквартирного будинку;</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15) отримання без додаткової оплати інформації про проведені виконавцем нарахування плати за послуги (за періодами та видами нарахувань) та отримані платежі;</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16) 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rsidR="00D96E26" w:rsidRPr="00DA02BE" w:rsidRDefault="00D96E26" w:rsidP="00D96E26">
      <w:pPr>
        <w:jc w:val="both"/>
        <w:rPr>
          <w:rFonts w:eastAsia="Times New Roman"/>
          <w:sz w:val="20"/>
          <w:szCs w:val="20"/>
          <w:lang w:eastAsia="ru-RU"/>
        </w:rPr>
      </w:pPr>
    </w:p>
    <w:p w:rsidR="00D96E26" w:rsidRPr="00DA02BE" w:rsidRDefault="00D96E26" w:rsidP="00D96E26">
      <w:pPr>
        <w:jc w:val="both"/>
        <w:rPr>
          <w:rFonts w:eastAsia="Times New Roman"/>
          <w:sz w:val="20"/>
          <w:szCs w:val="20"/>
          <w:lang w:eastAsia="ru-RU"/>
        </w:rPr>
      </w:pPr>
      <w:r w:rsidRPr="00DA02BE">
        <w:rPr>
          <w:rFonts w:eastAsia="Times New Roman"/>
          <w:sz w:val="20"/>
          <w:szCs w:val="20"/>
          <w:lang w:eastAsia="ru-RU"/>
        </w:rPr>
        <w:t>42. Споживач зобов’язаний:</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 раціонально використовувати питну воду, не допускати її витоку із внутрішньобудинкових мереж та обладнання;</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2) не перешкоджати здійсненню контролю за технічним станом інженерного обладнання в приміщеннях;</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3) утримувати в належному технічному і санітарному стані водопровідні мережі та обладнання;</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4) укладати договір про надання послуг у порядку і випадках, визначених законом;</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5) своєчасно вживати заходів до усунення виявлених неполадок, пов’язаних з отриманням послуг, що виникли з його вини;</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6) забезпечувати цілісність обладнання вузлів обліку послуг, пломб на них та не втручатися в їх роботу;</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7) проводити за власний рахунок ремонт та заміну санітарно-технічних приладів і пристроїв, обладнання, іншого спільного майна багатоквартирного будинку, яке обслуговує більш як одне житлове та/або нежитлове приміщення, пошкоджене з його вини, яка доведена в установленому законом порядку;</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8) оплачувати надані послуги за тарифами, встановленими відповідно до законодавства, у строки, встановлені договором;</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9) допускати у своє житлове приміщення (інший об’єкт нерухомого майна) виконавця або його представника у порядку, визначеному законом,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розподільного обліку;</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10) дотримуватися вимог житлового та містобудівного законодавства під час проведення ремонту чи реконструкції житлового приміщення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11) забезпечувати своєчасну підготовку об’єктів, що перебувають у його власності, до експлуатації в осінньо-зимовий період;</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lastRenderedPageBreak/>
        <w:t>12) у разі несвоєчасного здійснення платежів за послуги сплачувати пеню в розмірах, установлених законом або договором;</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13) письмово шляхом подання заяви інформувати виконавця про зміну власника житлового приміщення (іншого об’єкта нерухомого майна) та про фактичну кількість осіб, які постійно проживають у житловому приміщенні споживача, протягом 10 календарних днів з дня настання таких змін;</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14) надавати виконавцеві або особі, що здійснює розподіл обсягів спожитих послуг, показання вузлів розподільного обліку в порядку та строки, визначені договором;</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15) дотримуватися правил безпеки, зокрема пожежної, та санітарних норм.</w:t>
      </w:r>
    </w:p>
    <w:p w:rsidR="00D96E26" w:rsidRPr="00DA02BE" w:rsidRDefault="00D96E26" w:rsidP="00D96E26">
      <w:pPr>
        <w:jc w:val="both"/>
        <w:rPr>
          <w:rFonts w:eastAsia="Times New Roman"/>
          <w:sz w:val="20"/>
          <w:szCs w:val="20"/>
          <w:lang w:eastAsia="ru-RU"/>
        </w:rPr>
      </w:pPr>
      <w:r w:rsidRPr="00DA02BE">
        <w:rPr>
          <w:rFonts w:eastAsia="Times New Roman"/>
          <w:sz w:val="20"/>
          <w:szCs w:val="20"/>
          <w:lang w:eastAsia="ru-RU"/>
        </w:rPr>
        <w:t>43. Виконавець має право:</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 здійснювати контроль за технічним станом  інженерного обладнання будинків та споруд, вимагати термінового усунення витоків з водопровідних мереж та обладнання, забезпечувати встановлення, обслуговування та заміну вузлів комерційного обліку питної води відповідно до Закону України “Про комерційний облік теплової енергії та водопостачання”;</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2) вимагати від споживача дотримання правил експлуатації жилих приміщень та прибудинкової території, санітарно-гігієнічних правил і правил пожежної безпеки, вимог інших нормативно-правових актів у сфері комунальних послуг;</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3)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4) доступу до житлових приміщень (інших об’єктів нерухомого майна)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розподільного обліку в порядку, визначеному законом і договором;</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5) обмежити (припинити) надання послуг у разі їх неоплати або оплати не в повному обсязі в порядку і строки, встановлені законом і договором, крім випадків, коли якість та/або кількість таких послуг не відповідають умовам договору;</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6) звертатися до суду в разі порушення споживачами умов договору;</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7) отримувати інформацію від споживача про зміну власника житлового приміщення (іншого об’єкта нерухомого майна) та фактичної кількості осіб, які постійно проживають у житловому приміщенні споживача, у випадках та порядку, передбачених договором;</w:t>
      </w:r>
    </w:p>
    <w:p w:rsidR="00D96E26" w:rsidRPr="00DA02BE" w:rsidRDefault="00D96E26" w:rsidP="00D96E26">
      <w:pPr>
        <w:jc w:val="both"/>
        <w:rPr>
          <w:rFonts w:eastAsia="Times New Roman"/>
          <w:sz w:val="20"/>
          <w:szCs w:val="20"/>
          <w:lang w:eastAsia="ru-RU"/>
        </w:rPr>
      </w:pPr>
      <w:r w:rsidRPr="004D59F6">
        <w:rPr>
          <w:rFonts w:eastAsia="Times New Roman"/>
          <w:sz w:val="20"/>
          <w:szCs w:val="20"/>
          <w:lang w:eastAsia="ru-RU"/>
        </w:rPr>
        <w:t xml:space="preserve">8) створювати систему управління якістю, сертифіковану відповідно до національних або міжнародних стандартів </w:t>
      </w:r>
      <w:r w:rsidRPr="00DA02BE">
        <w:rPr>
          <w:rFonts w:eastAsia="Times New Roman"/>
          <w:sz w:val="20"/>
          <w:szCs w:val="20"/>
          <w:lang w:eastAsia="ru-RU"/>
        </w:rPr>
        <w:t>акредитованими органами із сертифікації.</w:t>
      </w:r>
    </w:p>
    <w:p w:rsidR="00D96E26" w:rsidRPr="00DA02BE" w:rsidRDefault="00D96E26" w:rsidP="00D96E26">
      <w:pPr>
        <w:jc w:val="both"/>
        <w:rPr>
          <w:rFonts w:eastAsia="Times New Roman"/>
          <w:b/>
          <w:sz w:val="20"/>
          <w:szCs w:val="20"/>
          <w:lang w:eastAsia="ru-RU"/>
        </w:rPr>
      </w:pPr>
      <w:r w:rsidRPr="00DA02BE">
        <w:rPr>
          <w:rFonts w:eastAsia="Times New Roman"/>
          <w:sz w:val="20"/>
          <w:szCs w:val="20"/>
          <w:lang w:eastAsia="ru-RU"/>
        </w:rPr>
        <w:t>44. Виконавець зобов’язаний</w:t>
      </w:r>
      <w:r w:rsidRPr="00DA02BE">
        <w:rPr>
          <w:rFonts w:eastAsia="Times New Roman"/>
          <w:b/>
          <w:sz w:val="20"/>
          <w:szCs w:val="20"/>
          <w:lang w:eastAsia="ru-RU"/>
        </w:rPr>
        <w:t>:</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 забезпечувати виробництво та постачання споживачам питної води відповідно до умов договору;</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4) відшкодовувати збитки, завдані юридичним і фізичним особам внаслідок порушення вимог законодавства у сфері питної води, питного водопостачання та централізованого водовідведення, що сталося з його вини;</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5) забезпечувати своєчасність надання, безперервність і відповідну якість послуг згідно із законодавством та умовами договору, в тому числі шляхом створення системи управління якістю відповідно до національних або міжнародних стандартів;</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6) готувати та укладати із споживачем договори з визначенням відповідальності за дотримання їх умов;</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7) надавати без додаткової оплати в установленому законодавством порядку необхідну інформацію про тарифи, розмір місячного платежу, структуру тарифу, норми споживання та порядок надання послуг, а також про їх споживчі властивості та іншу інформацію, передбачену законодавством;</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8) своєчасно проводити підготовку об’єктів житлово-комунального господарства до експлуатації в осінньо-зимовий період;</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9)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10) вживати заходів до ліквідації аварій на  системах централізованого водопостачання та водовідведення , що перебувають на балансі Виконавця, усунення порушень якості послуг у строки, встановлені законодавством;</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11) виплачувати споживачеві штраф за перевищення нормативних строків проведення аварійно-відновних робіт у розмірі 0,01 відсотків середньомісячної плати за послугу за попередні 12 місяців (якщо попередніх місяців нараховується менш як 12, за фактичний час споживання послуги) за кожну добу такого перевищення;</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12) своєчасно реагувати на виклики споживачів, підписувати акти-претензії, вести облік вимог (претензій) споживачів у зв’язку з порушенням порядку надання послуг;</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13) своєчасно проводити за власний рахунок роботи з усунення виявлених неполадок, пов’язаних з наданням послуг, що виникли з його вини;</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14) здійснювати розподіл загальнобудинкового обсягу послуг між споживачами у передбаченому законодавством та договором порядку;</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15) інформувати споживачів про намір зміни тарифів на послуги відповідно до законодавства;</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lastRenderedPageBreak/>
        <w:t>16)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належне йому житлове приміщення (інший об’єкт нерухомого майна);</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17) самостійно здійснювати перерахунок вартості послуг за період ненадання, надання не в повному обсязі або неналежної якості послуг, а також сплачувати неустойку (штраф, пеню) у розмірі 0,01 відсотків суми здійсненого перерахунку вартості послуги.</w:t>
      </w:r>
    </w:p>
    <w:p w:rsidR="00D96E26" w:rsidRPr="004D59F6" w:rsidRDefault="00D96E26" w:rsidP="00D96E26">
      <w:pPr>
        <w:jc w:val="both"/>
        <w:rPr>
          <w:rFonts w:eastAsia="Times New Roman"/>
          <w:sz w:val="20"/>
          <w:szCs w:val="20"/>
          <w:lang w:eastAsia="ru-RU"/>
        </w:rPr>
      </w:pPr>
    </w:p>
    <w:p w:rsidR="00D96E26" w:rsidRPr="004D59F6" w:rsidRDefault="00D96E26" w:rsidP="00D96E26">
      <w:pPr>
        <w:jc w:val="center"/>
        <w:rPr>
          <w:rFonts w:eastAsia="Times New Roman"/>
          <w:b/>
          <w:sz w:val="20"/>
          <w:szCs w:val="20"/>
          <w:lang w:eastAsia="ru-RU"/>
        </w:rPr>
      </w:pPr>
      <w:r w:rsidRPr="004D59F6">
        <w:rPr>
          <w:rFonts w:eastAsia="Times New Roman"/>
          <w:b/>
          <w:sz w:val="20"/>
          <w:szCs w:val="20"/>
          <w:lang w:eastAsia="ru-RU"/>
        </w:rPr>
        <w:t>Відповідальність сторін</w:t>
      </w:r>
    </w:p>
    <w:p w:rsidR="00D96E26" w:rsidRPr="00DA02BE" w:rsidRDefault="00D96E26" w:rsidP="00D96E26">
      <w:pPr>
        <w:jc w:val="both"/>
        <w:rPr>
          <w:rFonts w:eastAsia="Times New Roman"/>
          <w:sz w:val="20"/>
          <w:szCs w:val="20"/>
          <w:lang w:eastAsia="ru-RU"/>
        </w:rPr>
      </w:pPr>
      <w:r w:rsidRPr="00DA02BE">
        <w:rPr>
          <w:rFonts w:eastAsia="Times New Roman"/>
          <w:sz w:val="20"/>
          <w:szCs w:val="20"/>
          <w:lang w:eastAsia="ru-RU"/>
        </w:rPr>
        <w:t>45. Споживач несе відповідальність за:</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 невиконання умов договору;</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2) несвоєчасне внесення платежів за послуги шляхом сплати пені.</w:t>
      </w:r>
    </w:p>
    <w:p w:rsidR="00D96E26" w:rsidRPr="00DA02BE" w:rsidRDefault="00D96E26" w:rsidP="00D96E26">
      <w:pPr>
        <w:jc w:val="both"/>
        <w:rPr>
          <w:rFonts w:eastAsia="Times New Roman"/>
          <w:sz w:val="20"/>
          <w:szCs w:val="20"/>
          <w:lang w:eastAsia="ru-RU"/>
        </w:rPr>
      </w:pPr>
      <w:r w:rsidRPr="00DA02BE">
        <w:rPr>
          <w:rFonts w:eastAsia="Times New Roman"/>
          <w:sz w:val="20"/>
          <w:szCs w:val="20"/>
          <w:lang w:eastAsia="ru-RU"/>
        </w:rPr>
        <w:t>46. Виконавець несе відповідальність за:</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1) невиконання умов договору;</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2)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належне йому житлове приміщення (інший об’єкт нерухомого майна), шляхом відшкодування збитків;</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3) ненадання, надання не в повному обсязі або неналежної якості послуг;</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4) порушення прав споживачів згідно із законодавством.</w:t>
      </w:r>
    </w:p>
    <w:p w:rsidR="00D96E26" w:rsidRPr="004D59F6" w:rsidRDefault="00D96E26" w:rsidP="00D96E26">
      <w:pPr>
        <w:jc w:val="both"/>
        <w:rPr>
          <w:rFonts w:eastAsia="Times New Roman"/>
          <w:sz w:val="20"/>
          <w:szCs w:val="20"/>
          <w:lang w:eastAsia="ru-RU"/>
        </w:rPr>
      </w:pPr>
    </w:p>
    <w:p w:rsidR="00D96E26" w:rsidRPr="004D59F6" w:rsidRDefault="00D96E26" w:rsidP="00D96E26">
      <w:pPr>
        <w:jc w:val="center"/>
        <w:rPr>
          <w:rFonts w:eastAsia="Times New Roman"/>
          <w:b/>
          <w:sz w:val="20"/>
          <w:szCs w:val="20"/>
          <w:lang w:eastAsia="ru-RU"/>
        </w:rPr>
      </w:pPr>
      <w:r w:rsidRPr="004D59F6">
        <w:rPr>
          <w:rFonts w:eastAsia="Times New Roman"/>
          <w:b/>
          <w:sz w:val="20"/>
          <w:szCs w:val="20"/>
          <w:lang w:eastAsia="ru-RU"/>
        </w:rPr>
        <w:t>Порядок обмеження (припинення) надання послуг</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47. Виконавець обмежує (припиняє) надання послуг у разі:</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проведення ремонтних і профілактичних робіт згідно з будівельними нормами і правилами, правилами технічної експлуатації і користування, положеннями про проведення поточного і капітального ремонтів та іншими нормативно-правовими актами через 10 днів після повідомлення споживачеві через засоби масової інформації або в інший спосіб, що гарантує доведення такої інформації до кожного споживача, із зазначенням причини та строку обмеження (припинення) надання відповідних послуг;</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ліквідації наслідків аварії, повідомивши споживачеві через засоби масової інформації або в інший спосіб, що гарантує доведення такої інформації до споживача, про таку перерву не пізніше ніж через три години з початку такої перерви. У повідомленні зазначається причина та строк перерви в наданні відповідних послуг.</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48. Виконавець має право обмежити (припинити) надання послуги споживачеві у разі непогашення в повному обсязі заборгованості за спожиті послуги протягом 30 днів з дня отримання споживачем попередження від виконавця.</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49. Для обмеження (припинення) надання відповідної послуги споживачеві (у разі непогашення в повному обсязі заборгованості за спожиті послуги) виконавець надсилає споживачеві попередження про те, що у разі непогашення ним заборгованості за спожиті послуги протягом 30 днів з дня отримання попередження надання йому послуг може бути спочатку обмежено, а потім припинено.</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Таке попередження надсилається споживачеві не раніше наступного робочого дня після закінчення граничного строку оплати послуги, визначеного законодавством та/або договором.</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Попередження надсилається споживачеві рекомендованим листом (з повідомленням про вручення) та шляхом повідомлення споживачеві через його особистий кабінет, або в інший спосіб за допомогою засобів телефонного зв’язку електронною поштою ..</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50. У разі непогашення споживачем заборгованості протягом 30 днів з дня отримання попередження виконавець має право обмежити (припинити) надання послуг споживачеві.</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51. Обмеження (припинення) надання послуг не є підставою для розірвання договору.</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52. Надання послуг відновлюється у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53. Витрати виконавця, пов’язані з відновленням надання послуги споживачеві, підлягають відшкодуванню за рахунок споживача відповідно до кошторису витрат на відновлення надання послуг, складеного виконавцем.</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54. Дії щодо обмеження (припинення) надання послуг не повинні призводити до:</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пошкодження спільного майна споживачів;</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порушення прав та інтересів інших споживачів.</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55. У разі настання зазначених наслідків вони фіксуються споживачем і виконавцем та відшкодовуються виконавцем відповідно до законодавства.</w:t>
      </w:r>
    </w:p>
    <w:p w:rsidR="00D96E26" w:rsidRDefault="00D96E26" w:rsidP="00D96E26">
      <w:pPr>
        <w:jc w:val="center"/>
        <w:rPr>
          <w:rFonts w:eastAsia="Times New Roman"/>
          <w:b/>
          <w:sz w:val="20"/>
          <w:szCs w:val="20"/>
          <w:lang w:eastAsia="ru-RU"/>
        </w:rPr>
      </w:pPr>
    </w:p>
    <w:p w:rsidR="00D96E26" w:rsidRPr="004D59F6" w:rsidRDefault="00D96E26" w:rsidP="00D96E26">
      <w:pPr>
        <w:jc w:val="center"/>
        <w:rPr>
          <w:rFonts w:eastAsia="Times New Roman"/>
          <w:b/>
          <w:sz w:val="20"/>
          <w:szCs w:val="20"/>
          <w:lang w:eastAsia="ru-RU"/>
        </w:rPr>
      </w:pPr>
      <w:r w:rsidRPr="004D59F6">
        <w:rPr>
          <w:rFonts w:eastAsia="Times New Roman"/>
          <w:b/>
          <w:sz w:val="20"/>
          <w:szCs w:val="20"/>
          <w:lang w:eastAsia="ru-RU"/>
        </w:rPr>
        <w:t>Порядок оформлення претензій</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56.  У разі ненадання, надання не в повному обсязі або неналежної якості послуг споживач має право викликати виконавця (його представника) для проведення перевірки кількості та/або якості наданих послуг.</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Оформлення претензій споживачів здійснюється в порядку, передбаченому статтями 27, 28 Закону України “Про житлово-комунальні послуги”.</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57. За результатами перевірки якості надання послуг складається акт-претензія відповідно до порядку проведення перевірки відповідності якості надання комунальних послуг, затвердженого Кабінетом Міністрів України.</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lastRenderedPageBreak/>
        <w:t>58. Виконавець зобов’язаний прибути на виклик споживача не пізніше ніж протягом однієї доби з моменту отримання повідомлення.</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59. У разі проведення перевірки якості наданих послуг з централізованого водопостачання споживач має право здійснити забір проб. Інформація про забір проб зазначається в акті-претензії.</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У разі встановлення за результатами дослідження відібраних проб факту постачання (надання) послуг неналежної якості витрати споживача на оплату проведених досліджень підлягають компенсації за рахунок виконавця.</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60. У разі неприбуття виконавця в установлений строк або необґрунтованої відмови підписати акт-претензію такий акт-претензія підписується споживачем та не менш як двома споживачами, які проживають у сусідніх житлових приміщеннях (інших об’єктах нерухомого майна) і надсилається виконавцеві рекомендованим листом.</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61. Виконавець протягом п’яти робочих днів вирішує питання щодо задоволення вимог, зазначених в акті-претензії, або видає (надсилає) споживачеві обґрунтовану письмову відмову в задоволенні його претензії. У разі ненадання виконавцем відповіді в установлений строк претензії споживача вважаються визнаними таким виконавцем.</w:t>
      </w:r>
    </w:p>
    <w:p w:rsidR="00D96E26" w:rsidRPr="004D59F6" w:rsidRDefault="00D96E26" w:rsidP="00D96E26">
      <w:pPr>
        <w:jc w:val="both"/>
        <w:rPr>
          <w:rFonts w:eastAsia="Times New Roman"/>
          <w:sz w:val="20"/>
          <w:szCs w:val="20"/>
          <w:lang w:eastAsia="ru-RU"/>
        </w:rPr>
      </w:pPr>
    </w:p>
    <w:p w:rsidR="00D96E26" w:rsidRDefault="00D96E26" w:rsidP="00D96E26">
      <w:pPr>
        <w:jc w:val="center"/>
        <w:rPr>
          <w:rFonts w:eastAsia="Times New Roman"/>
          <w:b/>
          <w:sz w:val="20"/>
          <w:szCs w:val="20"/>
          <w:lang w:eastAsia="ru-RU"/>
        </w:rPr>
      </w:pPr>
    </w:p>
    <w:p w:rsidR="00D96E26" w:rsidRPr="004D59F6" w:rsidRDefault="00D96E26" w:rsidP="00D96E26">
      <w:pPr>
        <w:jc w:val="center"/>
        <w:rPr>
          <w:rFonts w:eastAsia="Times New Roman"/>
          <w:b/>
          <w:sz w:val="20"/>
          <w:szCs w:val="20"/>
          <w:lang w:eastAsia="ru-RU"/>
        </w:rPr>
      </w:pPr>
      <w:r w:rsidRPr="004D59F6">
        <w:rPr>
          <w:rFonts w:eastAsia="Times New Roman"/>
          <w:b/>
          <w:sz w:val="20"/>
          <w:szCs w:val="20"/>
          <w:lang w:eastAsia="ru-RU"/>
        </w:rPr>
        <w:t>Форс-мажорні обставини</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62. Сторони звільняються від відповідальності згідно з договором у разі настання дії непереборної сили (надзвичайних ситуацій техногенного, природного або екологічного характеру), яка унеможливлює надання відповідної послуги згідно з договором.</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63. Сторона, яка не може виконати прийнятих на себе зобов’язань, внаслідок дії форс-мажорних обставин, зобов’язана в письмовій формі повідомити іншій стороні про час настання, можливу тривалість та вірогідну дату припинення дії даних обставин, підтвердивши наявність дії форс-мажорних обставин відповідними документами.</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64. У разі настання форс-мажорних обставин строк дії договору продовжується або припиняється за згодою сторін.</w:t>
      </w:r>
    </w:p>
    <w:p w:rsidR="00D96E26" w:rsidRPr="004D59F6" w:rsidRDefault="00D96E26" w:rsidP="00D96E26">
      <w:pPr>
        <w:jc w:val="both"/>
        <w:rPr>
          <w:rFonts w:eastAsia="Times New Roman"/>
          <w:sz w:val="20"/>
          <w:szCs w:val="20"/>
          <w:lang w:eastAsia="ru-RU"/>
        </w:rPr>
      </w:pPr>
    </w:p>
    <w:p w:rsidR="00D96E26" w:rsidRPr="004D59F6" w:rsidRDefault="00D96E26" w:rsidP="00D96E26">
      <w:pPr>
        <w:jc w:val="center"/>
        <w:rPr>
          <w:rFonts w:eastAsia="Times New Roman"/>
          <w:b/>
          <w:sz w:val="20"/>
          <w:szCs w:val="20"/>
          <w:lang w:eastAsia="ru-RU"/>
        </w:rPr>
      </w:pPr>
      <w:r w:rsidRPr="004D59F6">
        <w:rPr>
          <w:rFonts w:eastAsia="Times New Roman"/>
          <w:b/>
          <w:sz w:val="20"/>
          <w:szCs w:val="20"/>
          <w:lang w:eastAsia="ru-RU"/>
        </w:rPr>
        <w:t>Особливі умови та строк дії договору</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 xml:space="preserve">65. Введення в дію цього Договору відбувається через 30 днів з моменту  опублікування тексту Договору на сайті ТОВ «Олевське орендне підприємство теплових мереж» - </w:t>
      </w:r>
      <w:hyperlink r:id="rId6" w:history="1">
        <w:r w:rsidRPr="004D59F6">
          <w:rPr>
            <w:rFonts w:eastAsia="Times New Roman"/>
            <w:color w:val="0000FF" w:themeColor="hyperlink"/>
            <w:sz w:val="20"/>
            <w:szCs w:val="20"/>
            <w:u w:val="single"/>
            <w:lang w:eastAsia="ru-RU"/>
          </w:rPr>
          <w:t>https://olevske-optm.info-gkh.com.ua</w:t>
        </w:r>
      </w:hyperlink>
      <w:r w:rsidRPr="004D59F6">
        <w:rPr>
          <w:rFonts w:eastAsia="Times New Roman"/>
          <w:color w:val="0000FF" w:themeColor="hyperlink"/>
          <w:sz w:val="20"/>
          <w:szCs w:val="20"/>
          <w:u w:val="single"/>
          <w:lang w:eastAsia="ru-RU"/>
        </w:rPr>
        <w:t xml:space="preserve">   </w:t>
      </w:r>
      <w:r w:rsidRPr="004D59F6">
        <w:rPr>
          <w:rFonts w:eastAsia="Times New Roman"/>
          <w:sz w:val="20"/>
          <w:szCs w:val="20"/>
          <w:u w:val="single"/>
          <w:lang w:eastAsia="ru-RU"/>
        </w:rPr>
        <w:t xml:space="preserve"> </w:t>
      </w:r>
      <w:r w:rsidRPr="004D59F6">
        <w:rPr>
          <w:rFonts w:eastAsia="Times New Roman"/>
          <w:sz w:val="20"/>
          <w:szCs w:val="20"/>
          <w:lang w:eastAsia="ru-RU"/>
        </w:rPr>
        <w:t xml:space="preserve"> та/або на сайті Олевської міської ради http://olevsk-gromada.gov.ua).</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66. У разі якщо співвласники багатоквартирного будинку не прийняли рішення про вибір  моделі організації договірних відносин з виконавцем комунальної послуги протягом строку визначеного п.4 Розділу VІ Прикінцевих та перехідних положень Закону України « Про житлово-комунальні послуги», такі споживачі вважаються такими, що акцептували (прийняли) умови даного Договору з моменту введення його в дію.</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67. Даний Договір набирає чинності для сторін з моменту акцептування споживачем умов даного Договору, але не раніше дня введення його в дію та діє протягом 1  (одного) року . Якщо за один місяць до закінчення зазначеного строку жодна із сторін не повідомить письмово іншій стороні про відмову від Договору, Договір вважається продовженим на один рік.</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68. Договір  може бути розірваний споживачем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69. Сторони надають одна одній згоду на використання та обробку своїх персональних даних, у тому числі надання їх третій особі, виключно для здійснення повноважень та дій, необхідних для реалізації прав та виконання обов’язків, передбачених Договором, відповідно до вимог Закону України “Про захист персональних даних” та інших законодавчих актів.</w:t>
      </w: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70. Спори, що можуть виникнути у процесі виконання Договору, сторони вирішують шляхом переговорів. Неврегульовані питання вирішуються у судовому порядку.</w:t>
      </w:r>
    </w:p>
    <w:p w:rsidR="00D96E26" w:rsidRPr="004D59F6" w:rsidRDefault="00D96E26" w:rsidP="00D96E26">
      <w:pPr>
        <w:jc w:val="both"/>
        <w:rPr>
          <w:rFonts w:eastAsia="Times New Roman"/>
          <w:sz w:val="20"/>
          <w:szCs w:val="20"/>
          <w:lang w:eastAsia="ru-RU"/>
        </w:rPr>
      </w:pPr>
    </w:p>
    <w:p w:rsidR="00D96E26" w:rsidRPr="004D59F6" w:rsidRDefault="00D96E26" w:rsidP="00D96E26">
      <w:pPr>
        <w:jc w:val="center"/>
        <w:rPr>
          <w:rFonts w:eastAsia="Times New Roman"/>
          <w:b/>
          <w:sz w:val="20"/>
          <w:szCs w:val="20"/>
          <w:lang w:eastAsia="ru-RU"/>
        </w:rPr>
      </w:pPr>
      <w:r w:rsidRPr="004D59F6">
        <w:rPr>
          <w:rFonts w:eastAsia="Times New Roman"/>
          <w:b/>
          <w:sz w:val="20"/>
          <w:szCs w:val="20"/>
          <w:lang w:eastAsia="ru-RU"/>
        </w:rPr>
        <w:t>Інші умови</w:t>
      </w:r>
    </w:p>
    <w:p w:rsidR="00D96E26" w:rsidRPr="004D59F6" w:rsidRDefault="00D96E26" w:rsidP="00D96E26">
      <w:pPr>
        <w:pBdr>
          <w:bottom w:val="single" w:sz="12" w:space="1" w:color="auto"/>
        </w:pBdr>
        <w:jc w:val="both"/>
        <w:rPr>
          <w:rFonts w:eastAsia="Times New Roman"/>
          <w:sz w:val="20"/>
          <w:szCs w:val="20"/>
          <w:lang w:eastAsia="ru-RU"/>
        </w:rPr>
      </w:pPr>
      <w:r w:rsidRPr="004D59F6">
        <w:rPr>
          <w:rFonts w:eastAsia="Times New Roman"/>
          <w:sz w:val="20"/>
          <w:szCs w:val="20"/>
          <w:lang w:eastAsia="ru-RU"/>
        </w:rPr>
        <w:t>71. Сторони домовились, що строк позовної давності по стягненню заборгованості за спожиті послуги становить три роки( в тому числі і за послуги, що були ними отримані до укладання даного Договору).</w:t>
      </w:r>
    </w:p>
    <w:p w:rsidR="00D96E26" w:rsidRPr="004D59F6" w:rsidRDefault="00D96E26" w:rsidP="00D96E26">
      <w:pPr>
        <w:pBdr>
          <w:bottom w:val="single" w:sz="12" w:space="1" w:color="auto"/>
        </w:pBdr>
        <w:jc w:val="both"/>
        <w:rPr>
          <w:rFonts w:eastAsia="Times New Roman"/>
          <w:sz w:val="20"/>
          <w:szCs w:val="20"/>
          <w:lang w:eastAsia="ru-RU"/>
        </w:rPr>
      </w:pPr>
      <w:r w:rsidRPr="004D59F6">
        <w:rPr>
          <w:rFonts w:eastAsia="Times New Roman"/>
          <w:sz w:val="20"/>
          <w:szCs w:val="20"/>
          <w:lang w:eastAsia="ru-RU"/>
        </w:rPr>
        <w:t xml:space="preserve">                                                                                                                                                                                                      </w:t>
      </w:r>
    </w:p>
    <w:p w:rsidR="00D96E26" w:rsidRPr="004D59F6" w:rsidRDefault="00D96E26" w:rsidP="00D96E26">
      <w:pPr>
        <w:jc w:val="both"/>
        <w:rPr>
          <w:rFonts w:eastAsia="Times New Roman"/>
          <w:sz w:val="20"/>
          <w:szCs w:val="20"/>
          <w:lang w:eastAsia="ru-RU"/>
        </w:rPr>
      </w:pPr>
    </w:p>
    <w:p w:rsidR="00D96E26" w:rsidRPr="004D59F6" w:rsidRDefault="00D96E26" w:rsidP="00D96E26">
      <w:pPr>
        <w:jc w:val="both"/>
        <w:rPr>
          <w:rFonts w:eastAsia="Times New Roman"/>
          <w:sz w:val="20"/>
          <w:szCs w:val="20"/>
          <w:lang w:eastAsia="ru-RU"/>
        </w:rPr>
      </w:pPr>
      <w:r w:rsidRPr="004D59F6">
        <w:rPr>
          <w:rFonts w:eastAsia="Times New Roman"/>
          <w:sz w:val="20"/>
          <w:szCs w:val="20"/>
          <w:lang w:eastAsia="ru-RU"/>
        </w:rPr>
        <w:t xml:space="preserve">Номери телефонів для отримання додаткової інформації , а також у разі виникнення аварій та інших надзвичайних ситуацій:       </w:t>
      </w:r>
    </w:p>
    <w:p w:rsidR="00D96E26" w:rsidRDefault="00D96E26" w:rsidP="00D96E26">
      <w:pPr>
        <w:jc w:val="both"/>
        <w:rPr>
          <w:rFonts w:eastAsia="Times New Roman"/>
          <w:sz w:val="20"/>
          <w:szCs w:val="20"/>
          <w:lang w:eastAsia="ru-RU"/>
        </w:rPr>
      </w:pPr>
      <w:r w:rsidRPr="004D59F6">
        <w:rPr>
          <w:rFonts w:eastAsia="Times New Roman"/>
          <w:sz w:val="20"/>
          <w:szCs w:val="20"/>
          <w:lang w:eastAsia="ru-RU"/>
        </w:rPr>
        <w:t xml:space="preserve">    (04135) 2-25-82,    2-18-74</w:t>
      </w:r>
    </w:p>
    <w:p w:rsidR="00D96E26" w:rsidRDefault="00D96E26" w:rsidP="00D96E26">
      <w:pPr>
        <w:jc w:val="both"/>
        <w:rPr>
          <w:rFonts w:eastAsia="Times New Roman"/>
          <w:sz w:val="20"/>
          <w:szCs w:val="20"/>
          <w:lang w:eastAsia="ru-RU"/>
        </w:rPr>
      </w:pPr>
    </w:p>
    <w:p w:rsidR="00D96E26" w:rsidRPr="004D59F6" w:rsidRDefault="00D96E26" w:rsidP="00D96E26">
      <w:pPr>
        <w:jc w:val="both"/>
        <w:rPr>
          <w:rFonts w:eastAsia="Times New Roman"/>
          <w:sz w:val="20"/>
          <w:szCs w:val="20"/>
          <w:lang w:eastAsia="ru-RU"/>
        </w:rPr>
      </w:pPr>
    </w:p>
    <w:p w:rsidR="00D96E26" w:rsidRPr="004D59F6" w:rsidRDefault="00D96E26" w:rsidP="00D96E26">
      <w:pPr>
        <w:jc w:val="center"/>
        <w:rPr>
          <w:rFonts w:eastAsia="Times New Roman"/>
          <w:b/>
          <w:sz w:val="20"/>
          <w:szCs w:val="20"/>
          <w:lang w:eastAsia="ru-RU"/>
        </w:rPr>
      </w:pPr>
    </w:p>
    <w:p w:rsidR="00D96E26" w:rsidRPr="004D59F6" w:rsidRDefault="00D96E26" w:rsidP="00D96E26">
      <w:pPr>
        <w:rPr>
          <w:rFonts w:eastAsia="Times New Roman"/>
          <w:sz w:val="20"/>
          <w:szCs w:val="20"/>
          <w:lang w:val="ru-RU" w:eastAsia="ru-RU"/>
        </w:rPr>
      </w:pPr>
      <w:r w:rsidRPr="004D59F6">
        <w:rPr>
          <w:rFonts w:eastAsia="Times New Roman"/>
          <w:b/>
          <w:sz w:val="20"/>
          <w:szCs w:val="20"/>
          <w:lang w:eastAsia="ru-RU"/>
        </w:rPr>
        <w:t xml:space="preserve">                    </w:t>
      </w:r>
      <w:r>
        <w:rPr>
          <w:rFonts w:eastAsia="Times New Roman"/>
          <w:b/>
          <w:sz w:val="20"/>
          <w:szCs w:val="20"/>
          <w:lang w:eastAsia="ru-RU"/>
        </w:rPr>
        <w:t xml:space="preserve">           Адреса та реквізити В</w:t>
      </w:r>
      <w:r w:rsidRPr="004D59F6">
        <w:rPr>
          <w:rFonts w:eastAsia="Times New Roman"/>
          <w:b/>
          <w:sz w:val="20"/>
          <w:szCs w:val="20"/>
          <w:lang w:eastAsia="ru-RU"/>
        </w:rPr>
        <w:t xml:space="preserve">иконавця:                                                        </w:t>
      </w:r>
    </w:p>
    <w:tbl>
      <w:tblPr>
        <w:tblStyle w:val="a3"/>
        <w:tblW w:w="10956" w:type="dxa"/>
        <w:tblInd w:w="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773"/>
        <w:gridCol w:w="1183"/>
      </w:tblGrid>
      <w:tr w:rsidR="00D96E26" w:rsidRPr="004D59F6" w:rsidTr="00E63ED1">
        <w:tc>
          <w:tcPr>
            <w:tcW w:w="4460" w:type="pct"/>
          </w:tcPr>
          <w:p w:rsidR="00D96E26" w:rsidRPr="004D59F6" w:rsidRDefault="00D96E26" w:rsidP="00E63ED1">
            <w:pPr>
              <w:rPr>
                <w:rFonts w:eastAsia="Times New Roman"/>
                <w:b/>
                <w:sz w:val="20"/>
                <w:szCs w:val="20"/>
                <w:lang w:eastAsia="ru-RU"/>
              </w:rPr>
            </w:pPr>
            <w:r w:rsidRPr="004D59F6">
              <w:rPr>
                <w:rFonts w:eastAsia="Times New Roman"/>
                <w:b/>
                <w:sz w:val="20"/>
                <w:szCs w:val="20"/>
                <w:lang w:eastAsia="ru-RU"/>
              </w:rPr>
              <w:t xml:space="preserve">                   </w:t>
            </w:r>
          </w:p>
          <w:p w:rsidR="00D96E26" w:rsidRPr="004D59F6" w:rsidRDefault="00D96E26" w:rsidP="00E63ED1">
            <w:pPr>
              <w:rPr>
                <w:rFonts w:eastAsia="Times New Roman"/>
                <w:sz w:val="24"/>
                <w:szCs w:val="24"/>
                <w:lang w:eastAsia="ru-RU"/>
              </w:rPr>
            </w:pPr>
            <w:r w:rsidRPr="004D59F6">
              <w:rPr>
                <w:rFonts w:eastAsia="Times New Roman"/>
                <w:sz w:val="24"/>
                <w:szCs w:val="24"/>
                <w:lang w:eastAsia="ru-RU"/>
              </w:rPr>
              <w:t>ТОВ « Олевське орендне підприємство теплових мереж»                          Споживач:</w:t>
            </w:r>
          </w:p>
          <w:p w:rsidR="00D96E26" w:rsidRPr="004D59F6" w:rsidRDefault="00D96E26" w:rsidP="00E63ED1">
            <w:pPr>
              <w:rPr>
                <w:rFonts w:eastAsia="Times New Roman"/>
                <w:sz w:val="24"/>
                <w:szCs w:val="24"/>
                <w:lang w:eastAsia="ru-RU"/>
              </w:rPr>
            </w:pPr>
            <w:r w:rsidRPr="004D59F6">
              <w:rPr>
                <w:rFonts w:eastAsia="Times New Roman"/>
                <w:sz w:val="24"/>
                <w:szCs w:val="24"/>
                <w:lang w:eastAsia="ru-RU"/>
              </w:rPr>
              <w:t>11001, м.Олевськ,  Житомирська область,                                       ________________________</w:t>
            </w:r>
          </w:p>
          <w:p w:rsidR="00D96E26" w:rsidRPr="004D59F6" w:rsidRDefault="00D96E26" w:rsidP="00E63ED1">
            <w:pPr>
              <w:rPr>
                <w:rFonts w:eastAsia="Times New Roman"/>
                <w:sz w:val="24"/>
                <w:szCs w:val="24"/>
                <w:lang w:val="ru-RU" w:eastAsia="ru-RU"/>
              </w:rPr>
            </w:pPr>
            <w:r w:rsidRPr="004D59F6">
              <w:rPr>
                <w:rFonts w:eastAsia="Times New Roman"/>
                <w:sz w:val="24"/>
                <w:szCs w:val="24"/>
                <w:lang w:eastAsia="ru-RU"/>
              </w:rPr>
              <w:lastRenderedPageBreak/>
              <w:t>вул. Б.Хмельницького, 13а                                                                ________________________</w:t>
            </w:r>
            <w:r w:rsidRPr="004D59F6">
              <w:rPr>
                <w:rFonts w:eastAsia="Times New Roman"/>
                <w:sz w:val="24"/>
                <w:szCs w:val="24"/>
                <w:lang w:eastAsia="ru-RU"/>
              </w:rPr>
              <w:br/>
              <w:t xml:space="preserve">р/р </w:t>
            </w:r>
            <w:r w:rsidRPr="004D59F6">
              <w:rPr>
                <w:rFonts w:eastAsia="Times New Roman"/>
                <w:sz w:val="24"/>
                <w:szCs w:val="24"/>
                <w:lang w:val="en-US" w:eastAsia="ru-RU"/>
              </w:rPr>
              <w:t>UA</w:t>
            </w:r>
            <w:r w:rsidRPr="004D59F6">
              <w:rPr>
                <w:rFonts w:eastAsia="Times New Roman"/>
                <w:sz w:val="24"/>
                <w:szCs w:val="24"/>
                <w:lang w:val="ru-RU" w:eastAsia="ru-RU"/>
              </w:rPr>
              <w:t>223116470000026001300938827                                            ________________________</w:t>
            </w:r>
          </w:p>
          <w:p w:rsidR="00D96E26" w:rsidRPr="004D59F6" w:rsidRDefault="00D96E26" w:rsidP="00E63ED1">
            <w:pPr>
              <w:rPr>
                <w:rFonts w:eastAsia="Times New Roman"/>
                <w:sz w:val="24"/>
                <w:szCs w:val="24"/>
                <w:lang w:eastAsia="ru-RU"/>
              </w:rPr>
            </w:pPr>
            <w:r w:rsidRPr="004D59F6">
              <w:rPr>
                <w:rFonts w:eastAsia="Times New Roman"/>
                <w:sz w:val="24"/>
                <w:szCs w:val="24"/>
                <w:lang w:val="ru-RU" w:eastAsia="ru-RU"/>
              </w:rPr>
              <w:t>в АТ “</w:t>
            </w:r>
            <w:r w:rsidRPr="004D59F6">
              <w:rPr>
                <w:rFonts w:eastAsia="Times New Roman"/>
                <w:sz w:val="24"/>
                <w:szCs w:val="24"/>
                <w:lang w:eastAsia="ru-RU"/>
              </w:rPr>
              <w:t xml:space="preserve"> Ощадбанк»                                                                              ________________________</w:t>
            </w:r>
          </w:p>
          <w:p w:rsidR="00D96E26" w:rsidRPr="004D59F6" w:rsidRDefault="00D96E26" w:rsidP="00E63ED1">
            <w:pPr>
              <w:rPr>
                <w:rFonts w:eastAsia="Times New Roman"/>
                <w:sz w:val="24"/>
                <w:szCs w:val="24"/>
                <w:lang w:eastAsia="ru-RU"/>
              </w:rPr>
            </w:pPr>
            <w:r w:rsidRPr="004D59F6">
              <w:rPr>
                <w:rFonts w:eastAsia="Times New Roman"/>
                <w:sz w:val="24"/>
                <w:szCs w:val="24"/>
                <w:lang w:eastAsia="ru-RU"/>
              </w:rPr>
              <w:t>ЄДРПОУ 13566750                                                                            _________________________</w:t>
            </w:r>
          </w:p>
          <w:p w:rsidR="00D96E26" w:rsidRPr="004D59F6" w:rsidRDefault="00D96E26" w:rsidP="00E63ED1">
            <w:pPr>
              <w:rPr>
                <w:rFonts w:eastAsia="Times New Roman"/>
                <w:sz w:val="24"/>
                <w:szCs w:val="24"/>
                <w:lang w:eastAsia="ru-RU"/>
              </w:rPr>
            </w:pPr>
            <w:r w:rsidRPr="004D59F6">
              <w:rPr>
                <w:rFonts w:eastAsia="Times New Roman"/>
                <w:sz w:val="24"/>
                <w:szCs w:val="24"/>
                <w:lang w:eastAsia="ru-RU"/>
              </w:rPr>
              <w:t>МФО  311647                                                                                      ________________________</w:t>
            </w:r>
          </w:p>
          <w:p w:rsidR="00D96E26" w:rsidRPr="004D59F6" w:rsidRDefault="00D96E26" w:rsidP="00E63ED1">
            <w:pPr>
              <w:rPr>
                <w:rFonts w:eastAsia="Times New Roman"/>
                <w:sz w:val="24"/>
                <w:szCs w:val="24"/>
                <w:lang w:eastAsia="ru-RU"/>
              </w:rPr>
            </w:pPr>
            <w:r w:rsidRPr="004D59F6">
              <w:rPr>
                <w:rFonts w:eastAsia="Times New Roman"/>
                <w:sz w:val="24"/>
                <w:szCs w:val="24"/>
                <w:lang w:eastAsia="ru-RU"/>
              </w:rPr>
              <w:t>тел.  (04135)  2-25-82                                                                          ________________________</w:t>
            </w:r>
          </w:p>
          <w:p w:rsidR="00D96E26" w:rsidRPr="004D59F6" w:rsidRDefault="00D96E26" w:rsidP="00E63ED1">
            <w:pPr>
              <w:rPr>
                <w:rFonts w:eastAsia="Times New Roman"/>
                <w:sz w:val="24"/>
                <w:szCs w:val="24"/>
                <w:lang w:eastAsia="ru-RU"/>
              </w:rPr>
            </w:pPr>
            <w:r w:rsidRPr="004D59F6">
              <w:rPr>
                <w:rFonts w:eastAsia="Times New Roman"/>
                <w:sz w:val="24"/>
                <w:szCs w:val="24"/>
                <w:lang w:eastAsia="ru-RU"/>
              </w:rPr>
              <w:t>факс (04135) 2-18-74</w:t>
            </w:r>
          </w:p>
          <w:p w:rsidR="00D96E26" w:rsidRPr="004D59F6" w:rsidRDefault="00D96E26" w:rsidP="00E63ED1">
            <w:pPr>
              <w:rPr>
                <w:rFonts w:eastAsia="Times New Roman"/>
                <w:sz w:val="20"/>
                <w:szCs w:val="20"/>
                <w:lang w:eastAsia="ru-RU"/>
              </w:rPr>
            </w:pPr>
          </w:p>
        </w:tc>
        <w:tc>
          <w:tcPr>
            <w:tcW w:w="540" w:type="pct"/>
          </w:tcPr>
          <w:p w:rsidR="00D96E26" w:rsidRPr="004D59F6" w:rsidRDefault="00D96E26" w:rsidP="00E63ED1">
            <w:pPr>
              <w:jc w:val="both"/>
              <w:rPr>
                <w:rFonts w:eastAsia="Times New Roman"/>
                <w:b/>
                <w:sz w:val="20"/>
                <w:szCs w:val="20"/>
                <w:lang w:eastAsia="ru-RU"/>
              </w:rPr>
            </w:pPr>
            <w:r w:rsidRPr="004D59F6">
              <w:rPr>
                <w:rFonts w:eastAsia="Times New Roman"/>
                <w:b/>
                <w:sz w:val="20"/>
                <w:szCs w:val="20"/>
                <w:lang w:eastAsia="ru-RU"/>
              </w:rPr>
              <w:lastRenderedPageBreak/>
              <w:t xml:space="preserve">                               </w:t>
            </w:r>
          </w:p>
        </w:tc>
      </w:tr>
    </w:tbl>
    <w:p w:rsidR="00D96E26" w:rsidRPr="00A61A1C" w:rsidRDefault="00D96E26" w:rsidP="00D96E26">
      <w:pPr>
        <w:rPr>
          <w:rFonts w:eastAsia="Times New Roman"/>
          <w:lang w:eastAsia="ru-RU"/>
        </w:rPr>
      </w:pPr>
      <w:r>
        <w:rPr>
          <w:rFonts w:eastAsia="Times New Roman"/>
          <w:sz w:val="20"/>
          <w:szCs w:val="20"/>
          <w:lang w:eastAsia="ru-RU"/>
        </w:rPr>
        <w:lastRenderedPageBreak/>
        <w:t xml:space="preserve">          </w:t>
      </w:r>
      <w:r w:rsidRPr="00A61A1C">
        <w:rPr>
          <w:rFonts w:eastAsia="Times New Roman"/>
          <w:lang w:eastAsia="ru-RU"/>
        </w:rPr>
        <w:t xml:space="preserve"> Директор</w:t>
      </w:r>
      <w:r>
        <w:rPr>
          <w:rFonts w:eastAsia="Times New Roman"/>
          <w:lang w:eastAsia="ru-RU"/>
        </w:rPr>
        <w:t xml:space="preserve"> ____________</w:t>
      </w:r>
    </w:p>
    <w:p w:rsidR="00D96E26" w:rsidRPr="004D59F6" w:rsidRDefault="00D96E26" w:rsidP="00D96E26">
      <w:pPr>
        <w:rPr>
          <w:rFonts w:ascii="Antiqua" w:eastAsia="Times New Roman" w:hAnsi="Antiqua"/>
          <w:sz w:val="20"/>
          <w:szCs w:val="20"/>
          <w:lang w:eastAsia="ru-RU"/>
        </w:rPr>
      </w:pPr>
    </w:p>
    <w:p w:rsidR="00C7346A" w:rsidRDefault="00C7346A"/>
    <w:sectPr w:rsidR="00C7346A" w:rsidSect="00C7346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D96E26"/>
    <w:rsid w:val="00C7346A"/>
    <w:rsid w:val="00D96E2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E26"/>
    <w:pPr>
      <w:spacing w:after="0" w:line="240" w:lineRule="auto"/>
    </w:pPr>
    <w:rPr>
      <w:rFonts w:ascii="Times New Roman" w:eastAsia="Calibri"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6E2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levske-optm.info-gkh.com.ua" TargetMode="External"/><Relationship Id="rId5" Type="http://schemas.openxmlformats.org/officeDocument/2006/relationships/hyperlink" Target="http://www.abon.com.ua" TargetMode="External"/><Relationship Id="rId4" Type="http://schemas.openxmlformats.org/officeDocument/2006/relationships/hyperlink" Target="http://www.abon.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22323</Words>
  <Characters>12725</Characters>
  <Application>Microsoft Office Word</Application>
  <DocSecurity>0</DocSecurity>
  <Lines>106</Lines>
  <Paragraphs>69</Paragraphs>
  <ScaleCrop>false</ScaleCrop>
  <Company>Microsoft</Company>
  <LinksUpToDate>false</LinksUpToDate>
  <CharactersWithSpaces>34979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2021-04-07T08:39:00Z</dcterms:created>
  <dcterms:modified xsi:type="dcterms:W3CDTF">2021-04-07T08:39:00Z</dcterms:modified>
</cp:coreProperties>
</file>